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A5" w:rsidRPr="0089395E" w:rsidRDefault="00A97971" w:rsidP="00DA3C38">
      <w:pPr>
        <w:jc w:val="center"/>
        <w:rPr>
          <w:b/>
          <w:caps/>
          <w:sz w:val="28"/>
          <w:szCs w:val="28"/>
        </w:rPr>
      </w:pPr>
      <w:r w:rsidRPr="0089395E">
        <w:rPr>
          <w:b/>
          <w:caps/>
          <w:sz w:val="28"/>
          <w:szCs w:val="28"/>
        </w:rPr>
        <w:t xml:space="preserve">Business </w:t>
      </w:r>
      <w:r w:rsidR="00A12400" w:rsidRPr="0089395E">
        <w:rPr>
          <w:b/>
          <w:caps/>
          <w:sz w:val="28"/>
          <w:szCs w:val="28"/>
        </w:rPr>
        <w:t>F</w:t>
      </w:r>
      <w:r w:rsidRPr="0089395E">
        <w:rPr>
          <w:b/>
          <w:caps/>
          <w:sz w:val="28"/>
          <w:szCs w:val="28"/>
        </w:rPr>
        <w:t xml:space="preserve">ailure </w:t>
      </w:r>
      <w:r w:rsidR="00A12400" w:rsidRPr="0089395E">
        <w:rPr>
          <w:b/>
          <w:caps/>
          <w:sz w:val="28"/>
          <w:szCs w:val="28"/>
        </w:rPr>
        <w:t>P</w:t>
      </w:r>
      <w:r w:rsidRPr="0089395E">
        <w:rPr>
          <w:b/>
          <w:caps/>
          <w:sz w:val="28"/>
          <w:szCs w:val="28"/>
        </w:rPr>
        <w:t xml:space="preserve">rediction for </w:t>
      </w:r>
      <w:r w:rsidR="00A12400" w:rsidRPr="0089395E">
        <w:rPr>
          <w:b/>
          <w:caps/>
          <w:sz w:val="28"/>
          <w:szCs w:val="28"/>
        </w:rPr>
        <w:t>P</w:t>
      </w:r>
      <w:r w:rsidRPr="0089395E">
        <w:rPr>
          <w:b/>
          <w:caps/>
          <w:sz w:val="28"/>
          <w:szCs w:val="28"/>
        </w:rPr>
        <w:t xml:space="preserve">ublicly </w:t>
      </w:r>
      <w:r w:rsidR="00A12400" w:rsidRPr="0089395E">
        <w:rPr>
          <w:b/>
          <w:caps/>
          <w:sz w:val="28"/>
          <w:szCs w:val="28"/>
        </w:rPr>
        <w:t>L</w:t>
      </w:r>
      <w:r w:rsidRPr="0089395E">
        <w:rPr>
          <w:b/>
          <w:caps/>
          <w:sz w:val="28"/>
          <w:szCs w:val="28"/>
        </w:rPr>
        <w:t xml:space="preserve">isted </w:t>
      </w:r>
      <w:r w:rsidR="00A12400" w:rsidRPr="0089395E">
        <w:rPr>
          <w:b/>
          <w:caps/>
          <w:sz w:val="28"/>
          <w:szCs w:val="28"/>
        </w:rPr>
        <w:t>C</w:t>
      </w:r>
      <w:r w:rsidRPr="0089395E">
        <w:rPr>
          <w:b/>
          <w:caps/>
          <w:sz w:val="28"/>
          <w:szCs w:val="28"/>
        </w:rPr>
        <w:t>ompanies in China</w:t>
      </w:r>
    </w:p>
    <w:p w:rsidR="00485B0A" w:rsidRDefault="00485B0A" w:rsidP="00D529C9">
      <w:pPr>
        <w:jc w:val="center"/>
      </w:pPr>
    </w:p>
    <w:p w:rsidR="00D529C9" w:rsidRPr="00485B0A" w:rsidRDefault="00D529C9" w:rsidP="00D529C9">
      <w:pPr>
        <w:jc w:val="center"/>
        <w:rPr>
          <w:i/>
        </w:rPr>
      </w:pPr>
      <w:r w:rsidRPr="00485B0A">
        <w:rPr>
          <w:i/>
        </w:rPr>
        <w:t>Ying Wang, College of Business, Montana State University-Billings, Billings, MT 59101,</w:t>
      </w:r>
      <w:r w:rsidR="000638EA" w:rsidRPr="00485B0A">
        <w:rPr>
          <w:i/>
        </w:rPr>
        <w:t xml:space="preserve"> 406-657-2273</w:t>
      </w:r>
      <w:r w:rsidRPr="00485B0A">
        <w:rPr>
          <w:i/>
        </w:rPr>
        <w:t xml:space="preserve"> </w:t>
      </w:r>
      <w:hyperlink r:id="rId8" w:history="1">
        <w:r w:rsidRPr="00485B0A">
          <w:rPr>
            <w:rStyle w:val="Hyperlink"/>
            <w:i/>
          </w:rPr>
          <w:t>ywang@msubillings.edu</w:t>
        </w:r>
      </w:hyperlink>
    </w:p>
    <w:p w:rsidR="00D529C9" w:rsidRPr="00485B0A" w:rsidRDefault="00D529C9" w:rsidP="000638EA">
      <w:pPr>
        <w:jc w:val="center"/>
        <w:rPr>
          <w:i/>
        </w:rPr>
      </w:pPr>
      <w:r w:rsidRPr="00485B0A">
        <w:rPr>
          <w:i/>
        </w:rPr>
        <w:t>Michael Campbell, College of Business</w:t>
      </w:r>
      <w:r w:rsidR="000638EA" w:rsidRPr="00485B0A">
        <w:rPr>
          <w:i/>
        </w:rPr>
        <w:t>,</w:t>
      </w:r>
      <w:r w:rsidRPr="00485B0A">
        <w:rPr>
          <w:i/>
        </w:rPr>
        <w:t xml:space="preserve"> Montana State University-Billings</w:t>
      </w:r>
      <w:r w:rsidR="000638EA" w:rsidRPr="00485B0A">
        <w:rPr>
          <w:i/>
        </w:rPr>
        <w:t xml:space="preserve">, </w:t>
      </w:r>
      <w:r w:rsidRPr="00485B0A">
        <w:rPr>
          <w:i/>
        </w:rPr>
        <w:t>Billings, MT 59101</w:t>
      </w:r>
      <w:r w:rsidR="000638EA" w:rsidRPr="00485B0A">
        <w:rPr>
          <w:i/>
        </w:rPr>
        <w:t xml:space="preserve">, 406-657-1651, </w:t>
      </w:r>
      <w:hyperlink r:id="rId9" w:history="1">
        <w:r w:rsidRPr="00485B0A">
          <w:rPr>
            <w:rStyle w:val="Hyperlink"/>
            <w:i/>
          </w:rPr>
          <w:t>mcampbell@msubillings.edu</w:t>
        </w:r>
      </w:hyperlink>
    </w:p>
    <w:p w:rsidR="004F0AD8" w:rsidRPr="00E767A0" w:rsidRDefault="004F0AD8" w:rsidP="001773B4">
      <w:pPr>
        <w:jc w:val="center"/>
      </w:pPr>
    </w:p>
    <w:p w:rsidR="001773B4" w:rsidRPr="00E767A0" w:rsidRDefault="001773B4" w:rsidP="001773B4">
      <w:pPr>
        <w:jc w:val="center"/>
      </w:pPr>
    </w:p>
    <w:p w:rsidR="00A33A86" w:rsidRDefault="001773B4" w:rsidP="001773B4">
      <w:pPr>
        <w:jc w:val="center"/>
        <w:rPr>
          <w:b/>
        </w:rPr>
      </w:pPr>
      <w:r w:rsidRPr="000704B1">
        <w:rPr>
          <w:b/>
        </w:rPr>
        <w:t>ABSTRACT</w:t>
      </w:r>
    </w:p>
    <w:p w:rsidR="001773B4" w:rsidRPr="00E767A0" w:rsidRDefault="001773B4" w:rsidP="001773B4">
      <w:pPr>
        <w:jc w:val="center"/>
        <w:rPr>
          <w:b/>
        </w:rPr>
      </w:pPr>
    </w:p>
    <w:p w:rsidR="00D218CE" w:rsidRPr="000704B1" w:rsidRDefault="00A33A86" w:rsidP="001773B4">
      <w:pPr>
        <w:jc w:val="both"/>
      </w:pPr>
      <w:r w:rsidRPr="00A57E61">
        <w:t xml:space="preserve">This study </w:t>
      </w:r>
      <w:r w:rsidR="000704B1" w:rsidRPr="00A57E61">
        <w:t>uses data from Chinese publicly listed companies for the period 2000-</w:t>
      </w:r>
      <w:r w:rsidR="00A57E61" w:rsidRPr="00A57E61">
        <w:t>September</w:t>
      </w:r>
      <w:r w:rsidR="00D204EA" w:rsidRPr="00A57E61">
        <w:t xml:space="preserve"> </w:t>
      </w:r>
      <w:r w:rsidR="000704B1" w:rsidRPr="00A57E61">
        <w:t>200</w:t>
      </w:r>
      <w:r w:rsidR="00D204EA" w:rsidRPr="00A57E61">
        <w:t>8</w:t>
      </w:r>
      <w:r w:rsidR="000704B1" w:rsidRPr="00A57E61">
        <w:t xml:space="preserve"> to test the accuracy of </w:t>
      </w:r>
      <w:r w:rsidRPr="00A57E61">
        <w:t xml:space="preserve">Altman’s </w:t>
      </w:r>
      <w:r w:rsidR="004E6624" w:rsidRPr="00A57E61">
        <w:t>Z-score</w:t>
      </w:r>
      <w:r w:rsidR="000704B1" w:rsidRPr="00A57E61">
        <w:t xml:space="preserve"> mode</w:t>
      </w:r>
      <w:r w:rsidR="00310B0E" w:rsidRPr="00A57E61">
        <w:t xml:space="preserve">l in predicting failure of Chinese companies.  Prediction accuracy was tested for three </w:t>
      </w:r>
      <w:r w:rsidR="004E6624" w:rsidRPr="00A57E61">
        <w:t>Z-score</w:t>
      </w:r>
      <w:r w:rsidR="00310B0E" w:rsidRPr="00A57E61">
        <w:t xml:space="preserve"> variations: Altman’s original model, a re-estimated model for which the </w:t>
      </w:r>
      <w:r w:rsidR="000704B1" w:rsidRPr="00A57E61">
        <w:t>coefficients in Altman’s model</w:t>
      </w:r>
      <w:r w:rsidR="00310B0E" w:rsidRPr="00A57E61">
        <w:t xml:space="preserve"> were re-</w:t>
      </w:r>
      <w:r w:rsidR="00961FD6" w:rsidRPr="00A57E61">
        <w:t>calculated</w:t>
      </w:r>
      <w:r w:rsidR="00310B0E" w:rsidRPr="00A57E61">
        <w:t xml:space="preserve"> and a </w:t>
      </w:r>
      <w:r w:rsidR="000704B1" w:rsidRPr="00A57E61">
        <w:t>revised</w:t>
      </w:r>
      <w:r w:rsidR="00310B0E" w:rsidRPr="00A57E61">
        <w:t xml:space="preserve"> model which used different </w:t>
      </w:r>
      <w:r w:rsidR="000704B1" w:rsidRPr="00A57E61">
        <w:t xml:space="preserve">variables. </w:t>
      </w:r>
      <w:r w:rsidR="00310B0E" w:rsidRPr="00A57E61">
        <w:t xml:space="preserve">All three models were found to have significant predictive ability. </w:t>
      </w:r>
      <w:r w:rsidRPr="00A57E61">
        <w:t xml:space="preserve">The re-estimated model has higher prediction accuracy </w:t>
      </w:r>
      <w:r w:rsidR="00310B0E" w:rsidRPr="00A57E61">
        <w:t xml:space="preserve">for </w:t>
      </w:r>
      <w:r w:rsidRPr="00A57E61">
        <w:t>predicting non-</w:t>
      </w:r>
      <w:r w:rsidR="00961FD6" w:rsidRPr="00A57E61">
        <w:t>failed</w:t>
      </w:r>
      <w:r w:rsidRPr="00A57E61">
        <w:t xml:space="preserve"> firm</w:t>
      </w:r>
      <w:r w:rsidR="00310B0E" w:rsidRPr="00A57E61">
        <w:t>s,</w:t>
      </w:r>
      <w:r w:rsidRPr="00A57E61">
        <w:t xml:space="preserve"> but Altman’s model has higher prediction accuracy </w:t>
      </w:r>
      <w:r w:rsidR="00310B0E" w:rsidRPr="00A57E61">
        <w:t>for predicting</w:t>
      </w:r>
      <w:r w:rsidRPr="00A57E61">
        <w:t xml:space="preserve"> </w:t>
      </w:r>
      <w:r w:rsidR="00961FD6" w:rsidRPr="00A57E61">
        <w:t>failed</w:t>
      </w:r>
      <w:r w:rsidRPr="00A57E61">
        <w:t xml:space="preserve"> firms. </w:t>
      </w:r>
      <w:r w:rsidR="004F0AD8" w:rsidRPr="00A57E61">
        <w:t>The re</w:t>
      </w:r>
      <w:r w:rsidR="00EB03FA" w:rsidRPr="00A57E61">
        <w:t>vised</w:t>
      </w:r>
      <w:r w:rsidR="004F0AD8" w:rsidRPr="00A57E61">
        <w:t xml:space="preserve"> </w:t>
      </w:r>
      <w:r w:rsidR="004E6624" w:rsidRPr="00A57E61">
        <w:t>Z-score</w:t>
      </w:r>
      <w:r w:rsidR="004F0AD8" w:rsidRPr="00A57E61">
        <w:t xml:space="preserve"> model has higher prediction accuracy compared with both the re-estimated model and Altman’s </w:t>
      </w:r>
      <w:r w:rsidR="00D204EA" w:rsidRPr="00A57E61">
        <w:t xml:space="preserve">original </w:t>
      </w:r>
      <w:r w:rsidR="004F0AD8" w:rsidRPr="00A57E61">
        <w:t xml:space="preserve">model. </w:t>
      </w:r>
    </w:p>
    <w:p w:rsidR="001773B4" w:rsidRPr="00E767A0" w:rsidRDefault="001773B4" w:rsidP="001773B4">
      <w:pPr>
        <w:jc w:val="center"/>
        <w:rPr>
          <w:b/>
        </w:rPr>
      </w:pPr>
    </w:p>
    <w:p w:rsidR="004F0AD8" w:rsidRDefault="001773B4" w:rsidP="001773B4">
      <w:pPr>
        <w:jc w:val="center"/>
        <w:rPr>
          <w:b/>
        </w:rPr>
      </w:pPr>
      <w:r w:rsidRPr="000704B1">
        <w:rPr>
          <w:b/>
        </w:rPr>
        <w:t>INTRODUCTION</w:t>
      </w:r>
    </w:p>
    <w:p w:rsidR="001773B4" w:rsidRPr="00E767A0" w:rsidRDefault="001773B4" w:rsidP="001773B4">
      <w:pPr>
        <w:jc w:val="center"/>
        <w:rPr>
          <w:b/>
        </w:rPr>
      </w:pPr>
    </w:p>
    <w:p w:rsidR="004F0AD8" w:rsidRDefault="00A97971" w:rsidP="001773B4">
      <w:pPr>
        <w:jc w:val="both"/>
      </w:pPr>
      <w:r w:rsidRPr="000704B1">
        <w:t>D</w:t>
      </w:r>
      <w:r w:rsidR="00826403" w:rsidRPr="000704B1">
        <w:t>eveloping</w:t>
      </w:r>
      <w:r w:rsidRPr="000704B1">
        <w:t xml:space="preserve"> countries are attracting more foreign investment than ever before. Since 2000, </w:t>
      </w:r>
      <w:r w:rsidR="00612F41" w:rsidRPr="000704B1">
        <w:t>f</w:t>
      </w:r>
      <w:r w:rsidR="0033380F" w:rsidRPr="000704B1">
        <w:t xml:space="preserve">oreign </w:t>
      </w:r>
      <w:r w:rsidR="00612F41" w:rsidRPr="000704B1">
        <w:t>d</w:t>
      </w:r>
      <w:r w:rsidR="0033380F" w:rsidRPr="000704B1">
        <w:t xml:space="preserve">irect </w:t>
      </w:r>
      <w:r w:rsidR="00612F41" w:rsidRPr="000704B1">
        <w:t>i</w:t>
      </w:r>
      <w:r w:rsidR="0033380F" w:rsidRPr="000704B1">
        <w:t>nvestment</w:t>
      </w:r>
      <w:r w:rsidRPr="000704B1">
        <w:t xml:space="preserve"> inflows have rocketed from $165.5 billion to an estimated $470.8 billion in 2007. China draws the most, attrac</w:t>
      </w:r>
      <w:r w:rsidR="00CE3A1D" w:rsidRPr="000704B1">
        <w:t>ting $84 billion of investment in 2007, re</w:t>
      </w:r>
      <w:r w:rsidRPr="000704B1">
        <w:t>present</w:t>
      </w:r>
      <w:r w:rsidR="00CE3A1D" w:rsidRPr="000704B1">
        <w:t>ing</w:t>
      </w:r>
      <w:r w:rsidRPr="000704B1">
        <w:t xml:space="preserve"> 18% of the total </w:t>
      </w:r>
      <w:r w:rsidR="00D71E47" w:rsidRPr="000704B1">
        <w:t xml:space="preserve">(Global </w:t>
      </w:r>
      <w:r w:rsidR="0033380F" w:rsidRPr="000704B1">
        <w:t>D</w:t>
      </w:r>
      <w:r w:rsidR="00D71E47" w:rsidRPr="000704B1">
        <w:t xml:space="preserve">evelopment </w:t>
      </w:r>
      <w:r w:rsidR="0033380F" w:rsidRPr="000704B1">
        <w:t>F</w:t>
      </w:r>
      <w:r w:rsidR="00D71E47" w:rsidRPr="000704B1">
        <w:t xml:space="preserve">inance 2008, </w:t>
      </w:r>
      <w:r w:rsidR="0033380F" w:rsidRPr="000704B1">
        <w:t>W</w:t>
      </w:r>
      <w:r w:rsidR="00D71E47" w:rsidRPr="000704B1">
        <w:t xml:space="preserve">orld </w:t>
      </w:r>
      <w:r w:rsidR="0033380F" w:rsidRPr="000704B1">
        <w:t>B</w:t>
      </w:r>
      <w:r w:rsidR="00D71E47" w:rsidRPr="000704B1">
        <w:t>ank)</w:t>
      </w:r>
      <w:r w:rsidR="00826403" w:rsidRPr="000704B1">
        <w:t>.</w:t>
      </w:r>
      <w:r w:rsidR="00CE3A1D" w:rsidRPr="000704B1">
        <w:t xml:space="preserve"> </w:t>
      </w:r>
      <w:r w:rsidR="00BC49C1" w:rsidRPr="000704B1">
        <w:t xml:space="preserve">Although China is an attractive place for investment, </w:t>
      </w:r>
      <w:r w:rsidR="0033380F" w:rsidRPr="000704B1">
        <w:t>C</w:t>
      </w:r>
      <w:r w:rsidR="009F72DC" w:rsidRPr="000704B1">
        <w:t>hina publicly listed companies suffer credibility issues. All three</w:t>
      </w:r>
      <w:r w:rsidR="00612F41" w:rsidRPr="000704B1">
        <w:t xml:space="preserve"> stock exchange markets - </w:t>
      </w:r>
      <w:r w:rsidR="009F72DC" w:rsidRPr="000704B1">
        <w:t>Shanghai, Shenzhen, and Hong Kong</w:t>
      </w:r>
      <w:r w:rsidR="00612F41" w:rsidRPr="000704B1">
        <w:t xml:space="preserve"> - </w:t>
      </w:r>
      <w:r w:rsidR="009F72DC" w:rsidRPr="000704B1">
        <w:t>are to varying degrees known for government intervention and a clubby opacity.  I</w:t>
      </w:r>
      <w:r w:rsidR="00BC49C1" w:rsidRPr="000704B1">
        <w:t xml:space="preserve">nvestors need guidelines to </w:t>
      </w:r>
      <w:r w:rsidR="00D204EA" w:rsidRPr="00A57E61">
        <w:t>distinguish</w:t>
      </w:r>
      <w:r w:rsidR="00BC49C1" w:rsidRPr="00A57E61">
        <w:t xml:space="preserve"> low</w:t>
      </w:r>
      <w:r w:rsidR="00BC49C1" w:rsidRPr="000704B1">
        <w:t xml:space="preserve"> risk investments from higher risk ones.</w:t>
      </w:r>
      <w:r w:rsidR="00110258" w:rsidRPr="000704B1">
        <w:t xml:space="preserve"> The objective of this study is to determine if the information available in the annual report</w:t>
      </w:r>
      <w:r w:rsidR="00612F41" w:rsidRPr="000704B1">
        <w:t>s</w:t>
      </w:r>
      <w:r w:rsidR="00110258" w:rsidRPr="000704B1">
        <w:t xml:space="preserve"> of China publicly listed companies is useful to predict which companies are likely </w:t>
      </w:r>
      <w:r w:rsidR="00110258" w:rsidRPr="00A57E61">
        <w:t xml:space="preserve">to </w:t>
      </w:r>
      <w:r w:rsidR="00D204EA" w:rsidRPr="00A57E61">
        <w:t>fail</w:t>
      </w:r>
      <w:r w:rsidR="00110258" w:rsidRPr="00A57E61">
        <w:t>.</w:t>
      </w:r>
    </w:p>
    <w:p w:rsidR="00A57E61" w:rsidRPr="000704B1" w:rsidRDefault="00A57E61" w:rsidP="001773B4">
      <w:pPr>
        <w:jc w:val="both"/>
      </w:pPr>
      <w:r w:rsidRPr="00A57E61">
        <w:t>The following research questions are considered in this paper: Is Altman’s Z-score model effective for predicting company failure in China during the period 2000-2008?  Is the model effective for predicting company failure for many different types of firms, not solely for manufacturing companies?  Will recalculation of the coefficients of Altman’s variables result in more accurate failure prediction? Can other variables be substituted in the basic Z-score model to create a more accurate model?</w:t>
      </w:r>
      <w:r>
        <w:t xml:space="preserve"> </w:t>
      </w:r>
    </w:p>
    <w:p w:rsidR="00A57E61" w:rsidRPr="000704B1" w:rsidRDefault="00A57E61" w:rsidP="001773B4">
      <w:pPr>
        <w:jc w:val="both"/>
        <w:rPr>
          <w:b/>
        </w:rPr>
      </w:pPr>
    </w:p>
    <w:p w:rsidR="00A97971" w:rsidRDefault="001773B4" w:rsidP="001773B4">
      <w:pPr>
        <w:jc w:val="center"/>
        <w:rPr>
          <w:b/>
        </w:rPr>
      </w:pPr>
      <w:r w:rsidRPr="000704B1">
        <w:rPr>
          <w:b/>
        </w:rPr>
        <w:t>PREVIOUS STUDIES</w:t>
      </w:r>
    </w:p>
    <w:p w:rsidR="001773B4" w:rsidRPr="000704B1" w:rsidRDefault="001773B4" w:rsidP="001773B4">
      <w:pPr>
        <w:jc w:val="center"/>
        <w:rPr>
          <w:b/>
        </w:rPr>
      </w:pPr>
    </w:p>
    <w:p w:rsidR="00DD5A26" w:rsidRDefault="003F5579" w:rsidP="001773B4">
      <w:pPr>
        <w:jc w:val="both"/>
      </w:pPr>
      <w:r w:rsidRPr="000704B1">
        <w:t>The prediction of company failure has bee</w:t>
      </w:r>
      <w:r w:rsidR="0091181E" w:rsidRPr="000704B1">
        <w:t>n well researched using developed country data</w:t>
      </w:r>
      <w:r w:rsidRPr="000704B1">
        <w:t xml:space="preserve"> (Beaver 1966; </w:t>
      </w:r>
      <w:r w:rsidR="00E31F31" w:rsidRPr="000704B1">
        <w:t xml:space="preserve">Altman 1968; </w:t>
      </w:r>
      <w:r w:rsidRPr="000704B1">
        <w:t>Wilcox 1973; Deakin 1972; Ohlson 1980</w:t>
      </w:r>
      <w:r w:rsidR="00E31F31" w:rsidRPr="000704B1">
        <w:t xml:space="preserve">; Taffler 1983; </w:t>
      </w:r>
      <w:r w:rsidR="009E1849" w:rsidRPr="000704B1">
        <w:t>Boritz</w:t>
      </w:r>
      <w:r w:rsidR="00E509CD">
        <w:t xml:space="preserve">, Kennedy and Sun </w:t>
      </w:r>
      <w:r w:rsidR="009E1849" w:rsidRPr="000704B1">
        <w:t>2007</w:t>
      </w:r>
      <w:r w:rsidRPr="000704B1">
        <w:t>)</w:t>
      </w:r>
      <w:r w:rsidR="00D04F2E" w:rsidRPr="000704B1">
        <w:t>.</w:t>
      </w:r>
      <w:r w:rsidR="00374088" w:rsidRPr="000704B1">
        <w:t xml:space="preserve"> </w:t>
      </w:r>
      <w:r w:rsidR="00D2482B" w:rsidRPr="000704B1">
        <w:t xml:space="preserve">A variety of models have been developed in the academic literature using techniques such as multiple discriminant analysis (MDA), logit, probit, recursive partitioning, hazard models, and neural networks. Summaries of the literature are provided in Zavgren (1983), Jones (1987), O’leary (1998), </w:t>
      </w:r>
      <w:r w:rsidR="00252FE5">
        <w:t xml:space="preserve">Boritz, Kennedy and Sun (2007) </w:t>
      </w:r>
      <w:r w:rsidR="00D2482B" w:rsidRPr="000704B1">
        <w:t xml:space="preserve">and </w:t>
      </w:r>
      <w:r w:rsidR="003902BA" w:rsidRPr="000704B1">
        <w:t xml:space="preserve">Agarwal and </w:t>
      </w:r>
      <w:r w:rsidR="00D2482B" w:rsidRPr="000704B1">
        <w:t xml:space="preserve">Taffler (2007).  </w:t>
      </w:r>
      <w:r w:rsidR="00D04F2E" w:rsidRPr="000704B1">
        <w:t xml:space="preserve">Despite the variety of models available, both the business community and researchers often rely on the models developed by Altman (1968) and </w:t>
      </w:r>
      <w:r w:rsidR="00D04F2E" w:rsidRPr="000704B1">
        <w:lastRenderedPageBreak/>
        <w:t xml:space="preserve">Ohlson (1980) (Boritz et al. 2007). </w:t>
      </w:r>
      <w:r w:rsidR="00DD5A26" w:rsidRPr="000704B1">
        <w:t xml:space="preserve">A survey of the literature shows that the majority of international failure prediction studies employ MDA (Altman 1984; Charitou et al. 2004). </w:t>
      </w:r>
    </w:p>
    <w:p w:rsidR="001773B4" w:rsidRDefault="001773B4" w:rsidP="00942CE5">
      <w:pPr>
        <w:jc w:val="both"/>
        <w:rPr>
          <w:b/>
        </w:rPr>
      </w:pPr>
    </w:p>
    <w:p w:rsidR="00DD5A26" w:rsidRDefault="001773B4" w:rsidP="001773B4">
      <w:pPr>
        <w:jc w:val="center"/>
        <w:rPr>
          <w:b/>
        </w:rPr>
      </w:pPr>
      <w:r w:rsidRPr="000704B1">
        <w:rPr>
          <w:b/>
        </w:rPr>
        <w:t>METHODOLOGY</w:t>
      </w:r>
    </w:p>
    <w:p w:rsidR="00E767A0" w:rsidRDefault="00E767A0" w:rsidP="001773B4">
      <w:pPr>
        <w:jc w:val="center"/>
        <w:rPr>
          <w:b/>
        </w:rPr>
      </w:pPr>
    </w:p>
    <w:p w:rsidR="00EC1863" w:rsidRDefault="00EC1863" w:rsidP="001773B4">
      <w:pPr>
        <w:jc w:val="both"/>
      </w:pPr>
      <w:r w:rsidRPr="000704B1">
        <w:t>As mentioned earlier, the majority of international failure prediction studies employ MDA (Altman 1984; Charitou et al. 2004). This study employs MDA to</w:t>
      </w:r>
      <w:r w:rsidR="002A5B48" w:rsidRPr="000704B1">
        <w:t xml:space="preserve"> allow better comparison </w:t>
      </w:r>
      <w:r w:rsidRPr="000704B1">
        <w:t xml:space="preserve">with other international studies. </w:t>
      </w:r>
      <w:r w:rsidR="007310C6" w:rsidRPr="00A57E61">
        <w:t xml:space="preserve">This </w:t>
      </w:r>
      <w:r w:rsidR="0098157B" w:rsidRPr="00A57E61">
        <w:t xml:space="preserve">research plan </w:t>
      </w:r>
      <w:r w:rsidR="007310C6" w:rsidRPr="00A57E61">
        <w:t xml:space="preserve">avoids </w:t>
      </w:r>
      <w:r w:rsidR="00D204EA" w:rsidRPr="00A57E61">
        <w:t>one</w:t>
      </w:r>
      <w:r w:rsidR="007310C6" w:rsidRPr="00A57E61">
        <w:t xml:space="preserve"> previous criticism of MDA analysis.</w:t>
      </w:r>
      <w:r w:rsidR="00766108" w:rsidRPr="00A57E61">
        <w:t xml:space="preserve">  Ohlson </w:t>
      </w:r>
      <w:r w:rsidR="00D2686C">
        <w:t>(</w:t>
      </w:r>
      <w:r w:rsidR="00766108" w:rsidRPr="00A57E61">
        <w:t>1980</w:t>
      </w:r>
      <w:r w:rsidR="00D2686C">
        <w:t>)</w:t>
      </w:r>
      <w:r w:rsidR="00766108" w:rsidRPr="00A57E61">
        <w:t xml:space="preserve"> is concerned about </w:t>
      </w:r>
      <w:r w:rsidR="0098157B" w:rsidRPr="00A57E61">
        <w:t xml:space="preserve">using </w:t>
      </w:r>
      <w:r w:rsidR="00766108" w:rsidRPr="00A57E61">
        <w:t>predictors</w:t>
      </w:r>
      <w:r w:rsidR="0098157B" w:rsidRPr="00A57E61">
        <w:t xml:space="preserve"> of failure that are</w:t>
      </w:r>
      <w:r w:rsidR="00766108" w:rsidRPr="00A57E61">
        <w:t xml:space="preserve"> derived from information published after bankruptcy</w:t>
      </w:r>
      <w:r w:rsidR="0098157B" w:rsidRPr="00A57E61">
        <w:t xml:space="preserve"> has occurred</w:t>
      </w:r>
      <w:r w:rsidR="00D204EA" w:rsidRPr="00A57E61">
        <w:t>.  In this study a</w:t>
      </w:r>
      <w:r w:rsidR="00766108" w:rsidRPr="00A57E61">
        <w:t>ll information</w:t>
      </w:r>
      <w:r w:rsidR="00D204EA" w:rsidRPr="00A57E61">
        <w:t xml:space="preserve"> </w:t>
      </w:r>
      <w:r w:rsidR="00766108" w:rsidRPr="00A57E61">
        <w:t xml:space="preserve">is from reports published at least 3 months before a company was delisted.  Agarwal and Taffler </w:t>
      </w:r>
      <w:r w:rsidR="00D2686C">
        <w:t>(</w:t>
      </w:r>
      <w:r w:rsidR="00766108" w:rsidRPr="00A57E61">
        <w:t>2007</w:t>
      </w:r>
      <w:r w:rsidR="00D2686C">
        <w:t>)</w:t>
      </w:r>
      <w:r w:rsidR="00766108" w:rsidRPr="00A57E61">
        <w:t xml:space="preserve"> emphasize the importance of testing the predictive ability of models against an entire population instead of using only a relatively small sample.  </w:t>
      </w:r>
      <w:r w:rsidR="00155403" w:rsidRPr="00A57E61">
        <w:t xml:space="preserve">The authors plan to address this issue in a subsequent study.  </w:t>
      </w:r>
      <w:r w:rsidR="00766108" w:rsidRPr="00A57E61">
        <w:t xml:space="preserve">The </w:t>
      </w:r>
      <w:r w:rsidR="005A2B56" w:rsidRPr="00A57E61">
        <w:t xml:space="preserve">current research </w:t>
      </w:r>
      <w:r w:rsidR="00766108" w:rsidRPr="00A57E61">
        <w:t xml:space="preserve">plan is to test the predictive ability of three Z-score based models </w:t>
      </w:r>
      <w:r w:rsidR="0098157B" w:rsidRPr="00A57E61">
        <w:t>using</w:t>
      </w:r>
      <w:r w:rsidR="00766108" w:rsidRPr="00A57E61">
        <w:t xml:space="preserve"> </w:t>
      </w:r>
      <w:r w:rsidR="005A2B56" w:rsidRPr="00A57E61">
        <w:t>the</w:t>
      </w:r>
      <w:r w:rsidR="00766108" w:rsidRPr="00A57E61">
        <w:t xml:space="preserve"> </w:t>
      </w:r>
      <w:r w:rsidR="005A2B56" w:rsidRPr="00A57E61">
        <w:t>matched pair technique</w:t>
      </w:r>
      <w:r w:rsidR="00155403" w:rsidRPr="00A57E61">
        <w:t xml:space="preserve">.  </w:t>
      </w:r>
      <w:r w:rsidR="00766108" w:rsidRPr="00A57E61">
        <w:t>Two of the models are actually developed in this study.</w:t>
      </w:r>
    </w:p>
    <w:p w:rsidR="001773B4" w:rsidRPr="00A57E61" w:rsidRDefault="001773B4" w:rsidP="001773B4">
      <w:pPr>
        <w:jc w:val="both"/>
      </w:pPr>
    </w:p>
    <w:p w:rsidR="00F21FAE" w:rsidRDefault="001773B4" w:rsidP="001773B4">
      <w:pPr>
        <w:jc w:val="center"/>
        <w:rPr>
          <w:b/>
        </w:rPr>
      </w:pPr>
      <w:r w:rsidRPr="000704B1">
        <w:rPr>
          <w:b/>
        </w:rPr>
        <w:t>RESULTS</w:t>
      </w:r>
    </w:p>
    <w:p w:rsidR="001773B4" w:rsidRPr="000704B1" w:rsidRDefault="001773B4" w:rsidP="001773B4">
      <w:pPr>
        <w:jc w:val="center"/>
        <w:rPr>
          <w:b/>
        </w:rPr>
      </w:pPr>
    </w:p>
    <w:p w:rsidR="000E1050" w:rsidRDefault="00421BD6" w:rsidP="009A721A">
      <w:pPr>
        <w:jc w:val="both"/>
        <w:rPr>
          <w:b/>
          <w:bCs/>
        </w:rPr>
      </w:pPr>
      <w:r w:rsidRPr="000704B1">
        <w:rPr>
          <w:bCs/>
        </w:rPr>
        <w:t xml:space="preserve">We evaluated the classification accuracy of Altman’s (1968) </w:t>
      </w:r>
      <w:r w:rsidR="004E6624">
        <w:rPr>
          <w:bCs/>
        </w:rPr>
        <w:t>Z-score</w:t>
      </w:r>
      <w:r w:rsidRPr="000704B1">
        <w:rPr>
          <w:bCs/>
        </w:rPr>
        <w:t xml:space="preserve"> model using </w:t>
      </w:r>
      <w:r w:rsidR="005D1AA9">
        <w:rPr>
          <w:bCs/>
        </w:rPr>
        <w:t xml:space="preserve">the </w:t>
      </w:r>
      <w:r w:rsidRPr="000704B1">
        <w:rPr>
          <w:bCs/>
        </w:rPr>
        <w:t xml:space="preserve">estimation sample and prediction sample respectively. The </w:t>
      </w:r>
      <w:r w:rsidR="004E6624">
        <w:rPr>
          <w:bCs/>
        </w:rPr>
        <w:t>Z-score</w:t>
      </w:r>
      <w:r w:rsidRPr="000704B1">
        <w:rPr>
          <w:bCs/>
        </w:rPr>
        <w:t xml:space="preserve">s are derived for both samples using two years </w:t>
      </w:r>
      <w:r w:rsidR="009C3737" w:rsidRPr="000704B1">
        <w:rPr>
          <w:bCs/>
        </w:rPr>
        <w:t xml:space="preserve">of </w:t>
      </w:r>
      <w:r w:rsidRPr="000704B1">
        <w:rPr>
          <w:bCs/>
        </w:rPr>
        <w:t xml:space="preserve">financial data. </w:t>
      </w:r>
    </w:p>
    <w:p w:rsidR="00E02C8A" w:rsidRPr="000704B1" w:rsidRDefault="00E02C8A" w:rsidP="001773B4">
      <w:pPr>
        <w:jc w:val="both"/>
        <w:rPr>
          <w:b/>
          <w:bCs/>
        </w:rPr>
      </w:pPr>
    </w:p>
    <w:p w:rsidR="00E02C8A" w:rsidRDefault="000E1050" w:rsidP="009A721A">
      <w:pPr>
        <w:autoSpaceDE w:val="0"/>
        <w:autoSpaceDN w:val="0"/>
        <w:adjustRightInd w:val="0"/>
        <w:rPr>
          <w:rFonts w:ascii="AdvTT5843c571" w:hAnsi="AdvTT5843c571" w:cs="AdvTT5843c571"/>
        </w:rPr>
      </w:pPr>
      <w:r w:rsidRPr="000704B1">
        <w:rPr>
          <w:rFonts w:ascii="AdvTT5843c571" w:hAnsi="AdvTT5843c571" w:cs="AdvTT5843c571"/>
        </w:rPr>
        <w:t xml:space="preserve">Additional evidence of the stationarity of the </w:t>
      </w:r>
      <w:r w:rsidR="004E6624">
        <w:rPr>
          <w:rFonts w:ascii="AdvTTf90d833a.I" w:hAnsi="AdvTTf90d833a.I" w:cs="AdvTTf90d833a.I"/>
        </w:rPr>
        <w:t>Z-score</w:t>
      </w:r>
      <w:r w:rsidRPr="000704B1">
        <w:rPr>
          <w:rFonts w:ascii="AdvTT5843c571" w:hAnsi="AdvTT5843c571" w:cs="AdvTT5843c571"/>
        </w:rPr>
        <w:t xml:space="preserve"> model is obtained by re-estimating the model’s coefficients using our </w:t>
      </w:r>
      <w:r w:rsidR="003D23D0" w:rsidRPr="000704B1">
        <w:rPr>
          <w:rFonts w:ascii="AdvTT5843c571" w:hAnsi="AdvTT5843c571" w:cs="AdvTT5843c571"/>
        </w:rPr>
        <w:t>estimation</w:t>
      </w:r>
      <w:r w:rsidRPr="000704B1">
        <w:rPr>
          <w:rFonts w:ascii="AdvTT5843c571" w:hAnsi="AdvTT5843c571" w:cs="AdvTT5843c571"/>
        </w:rPr>
        <w:t xml:space="preserve"> sample</w:t>
      </w:r>
      <w:r w:rsidR="00090EFF" w:rsidRPr="000704B1">
        <w:rPr>
          <w:rFonts w:ascii="AdvTT5843c571" w:hAnsi="AdvTT5843c571" w:cs="AdvTT5843c571"/>
        </w:rPr>
        <w:t xml:space="preserve"> and then</w:t>
      </w:r>
      <w:r w:rsidR="00026062" w:rsidRPr="000704B1">
        <w:rPr>
          <w:rFonts w:ascii="AdvTT5843c571" w:hAnsi="AdvTT5843c571" w:cs="AdvTT5843c571"/>
        </w:rPr>
        <w:t xml:space="preserve"> test</w:t>
      </w:r>
      <w:r w:rsidR="00090EFF" w:rsidRPr="000704B1">
        <w:rPr>
          <w:rFonts w:ascii="AdvTT5843c571" w:hAnsi="AdvTT5843c571" w:cs="AdvTT5843c571"/>
        </w:rPr>
        <w:t>ing</w:t>
      </w:r>
      <w:r w:rsidR="00026062" w:rsidRPr="000704B1">
        <w:rPr>
          <w:rFonts w:ascii="AdvTT5843c571" w:hAnsi="AdvTT5843c571" w:cs="AdvTT5843c571"/>
        </w:rPr>
        <w:t xml:space="preserve"> the prediction accuracy of our model using the prediction sample</w:t>
      </w:r>
      <w:r w:rsidR="00090EFF" w:rsidRPr="000704B1">
        <w:rPr>
          <w:rFonts w:ascii="AdvTT5843c571" w:hAnsi="AdvTT5843c571" w:cs="AdvTT5843c571"/>
        </w:rPr>
        <w:t>.</w:t>
      </w:r>
      <w:r w:rsidR="00026062" w:rsidRPr="000704B1">
        <w:rPr>
          <w:rFonts w:ascii="AdvTT5843c571" w:hAnsi="AdvTT5843c571" w:cs="AdvTT5843c571"/>
        </w:rPr>
        <w:t xml:space="preserve">  </w:t>
      </w:r>
    </w:p>
    <w:p w:rsidR="009A721A" w:rsidRPr="000704B1" w:rsidRDefault="009A721A" w:rsidP="009A721A">
      <w:pPr>
        <w:autoSpaceDE w:val="0"/>
        <w:autoSpaceDN w:val="0"/>
        <w:adjustRightInd w:val="0"/>
        <w:rPr>
          <w:rFonts w:ascii="AdvTT5843c571" w:hAnsi="AdvTT5843c571" w:cs="AdvTT5843c571"/>
        </w:rPr>
      </w:pPr>
    </w:p>
    <w:p w:rsidR="00D76043" w:rsidRPr="000704B1" w:rsidRDefault="00146F7B" w:rsidP="009A721A">
      <w:pPr>
        <w:jc w:val="both"/>
        <w:rPr>
          <w:bCs/>
        </w:rPr>
      </w:pPr>
      <w:r w:rsidRPr="000704B1">
        <w:rPr>
          <w:bCs/>
        </w:rPr>
        <w:t>During the process of data collection, we noticed that the delisted firms’ total asset</w:t>
      </w:r>
      <w:r w:rsidR="004E6624">
        <w:rPr>
          <w:bCs/>
        </w:rPr>
        <w:t>s</w:t>
      </w:r>
      <w:r w:rsidRPr="000704B1">
        <w:rPr>
          <w:bCs/>
        </w:rPr>
        <w:t xml:space="preserve"> decreased over the two year period</w:t>
      </w:r>
      <w:r w:rsidR="004E6624">
        <w:rPr>
          <w:bCs/>
        </w:rPr>
        <w:t>,</w:t>
      </w:r>
      <w:r w:rsidRPr="000704B1">
        <w:rPr>
          <w:bCs/>
        </w:rPr>
        <w:t xml:space="preserve"> while the non-delisted firms’ total asset</w:t>
      </w:r>
      <w:r w:rsidR="004E6624">
        <w:rPr>
          <w:bCs/>
        </w:rPr>
        <w:t>s</w:t>
      </w:r>
      <w:r w:rsidRPr="000704B1">
        <w:rPr>
          <w:bCs/>
        </w:rPr>
        <w:t xml:space="preserve"> increased. Although no previous research has taken this into consideration, we believe it worth further exploration. We thus added another variable into the discriminant function. </w:t>
      </w:r>
      <w:r w:rsidR="00DC3EDF" w:rsidRPr="000704B1">
        <w:rPr>
          <w:bCs/>
        </w:rPr>
        <w:t>The variable is de</w:t>
      </w:r>
      <w:r w:rsidR="003368F4" w:rsidRPr="000704B1">
        <w:rPr>
          <w:bCs/>
        </w:rPr>
        <w:t xml:space="preserve">fined as follows: </w:t>
      </w:r>
      <w:r w:rsidR="00280BB3" w:rsidRPr="000704B1">
        <w:rPr>
          <w:bCs/>
        </w:rPr>
        <w:t>(</w:t>
      </w:r>
      <w:r w:rsidR="003368F4" w:rsidRPr="000704B1">
        <w:rPr>
          <w:bCs/>
        </w:rPr>
        <w:t>Total asset</w:t>
      </w:r>
      <w:r w:rsidR="004E6624">
        <w:rPr>
          <w:bCs/>
        </w:rPr>
        <w:t>s</w:t>
      </w:r>
      <w:r w:rsidR="00AF47A8" w:rsidRPr="000704B1">
        <w:rPr>
          <w:bCs/>
        </w:rPr>
        <w:t xml:space="preserve"> </w:t>
      </w:r>
      <w:r w:rsidR="004E6624">
        <w:rPr>
          <w:bCs/>
        </w:rPr>
        <w:t>one year</w:t>
      </w:r>
      <w:r w:rsidR="00AF47A8" w:rsidRPr="000704B1">
        <w:rPr>
          <w:bCs/>
        </w:rPr>
        <w:t xml:space="preserve"> prior to</w:t>
      </w:r>
      <w:r w:rsidR="00280BB3" w:rsidRPr="000704B1">
        <w:rPr>
          <w:bCs/>
        </w:rPr>
        <w:t xml:space="preserve"> delisting</w:t>
      </w:r>
      <w:r w:rsidR="00D9257B">
        <w:rPr>
          <w:bCs/>
        </w:rPr>
        <w:t xml:space="preserve"> </w:t>
      </w:r>
      <w:r w:rsidR="003368F4" w:rsidRPr="000704B1">
        <w:rPr>
          <w:bCs/>
        </w:rPr>
        <w:t>-</w:t>
      </w:r>
      <w:r w:rsidR="00D9257B">
        <w:rPr>
          <w:bCs/>
        </w:rPr>
        <w:t xml:space="preserve"> T</w:t>
      </w:r>
      <w:r w:rsidR="003368F4" w:rsidRPr="000704B1">
        <w:rPr>
          <w:bCs/>
        </w:rPr>
        <w:t>otal asset</w:t>
      </w:r>
      <w:r w:rsidR="004E6624">
        <w:rPr>
          <w:bCs/>
        </w:rPr>
        <w:t>s</w:t>
      </w:r>
      <w:r w:rsidR="003368F4" w:rsidRPr="000704B1">
        <w:rPr>
          <w:bCs/>
        </w:rPr>
        <w:t xml:space="preserve"> </w:t>
      </w:r>
      <w:r w:rsidR="004E6624">
        <w:rPr>
          <w:bCs/>
        </w:rPr>
        <w:t>two years</w:t>
      </w:r>
      <w:r w:rsidR="00280BB3" w:rsidRPr="000704B1">
        <w:rPr>
          <w:bCs/>
        </w:rPr>
        <w:t xml:space="preserve"> </w:t>
      </w:r>
      <w:r w:rsidR="00AF47A8" w:rsidRPr="000704B1">
        <w:rPr>
          <w:bCs/>
        </w:rPr>
        <w:t>prior to</w:t>
      </w:r>
      <w:r w:rsidR="00280BB3" w:rsidRPr="000704B1">
        <w:rPr>
          <w:bCs/>
        </w:rPr>
        <w:t xml:space="preserve"> delisting</w:t>
      </w:r>
      <w:r w:rsidR="003368F4" w:rsidRPr="000704B1">
        <w:rPr>
          <w:bCs/>
        </w:rPr>
        <w:t>)</w:t>
      </w:r>
      <w:r w:rsidR="00280BB3" w:rsidRPr="000704B1">
        <w:rPr>
          <w:bCs/>
        </w:rPr>
        <w:t>/Total asset</w:t>
      </w:r>
      <w:r w:rsidR="004E6624">
        <w:rPr>
          <w:bCs/>
        </w:rPr>
        <w:t>s</w:t>
      </w:r>
      <w:r w:rsidR="00280BB3" w:rsidRPr="000704B1">
        <w:rPr>
          <w:bCs/>
        </w:rPr>
        <w:t xml:space="preserve"> </w:t>
      </w:r>
      <w:r w:rsidR="004E6624">
        <w:rPr>
          <w:bCs/>
        </w:rPr>
        <w:t>two years</w:t>
      </w:r>
      <w:r w:rsidR="00280BB3" w:rsidRPr="000704B1">
        <w:rPr>
          <w:bCs/>
        </w:rPr>
        <w:t xml:space="preserve"> </w:t>
      </w:r>
      <w:r w:rsidR="00AF47A8" w:rsidRPr="000704B1">
        <w:rPr>
          <w:bCs/>
        </w:rPr>
        <w:t>prior to</w:t>
      </w:r>
      <w:r w:rsidR="00280BB3" w:rsidRPr="000704B1">
        <w:rPr>
          <w:bCs/>
        </w:rPr>
        <w:t xml:space="preserve"> delisting</w:t>
      </w:r>
      <w:r w:rsidR="005A6964" w:rsidRPr="000704B1">
        <w:rPr>
          <w:bCs/>
        </w:rPr>
        <w:t xml:space="preserve">. We then applied </w:t>
      </w:r>
      <w:r w:rsidR="004E6624">
        <w:rPr>
          <w:bCs/>
        </w:rPr>
        <w:t xml:space="preserve">a </w:t>
      </w:r>
      <w:r w:rsidR="005A6964" w:rsidRPr="000704B1">
        <w:rPr>
          <w:bCs/>
        </w:rPr>
        <w:t>backward elimination procedure. Three variables re</w:t>
      </w:r>
      <w:r w:rsidR="004E6624">
        <w:rPr>
          <w:bCs/>
        </w:rPr>
        <w:t>m</w:t>
      </w:r>
      <w:r w:rsidR="005A6964" w:rsidRPr="000704B1">
        <w:rPr>
          <w:bCs/>
        </w:rPr>
        <w:t xml:space="preserve">ained after the procedure with a significance level of p&lt;0.05. </w:t>
      </w:r>
    </w:p>
    <w:p w:rsidR="00752E90" w:rsidRDefault="001773B4" w:rsidP="001773B4">
      <w:pPr>
        <w:jc w:val="center"/>
        <w:rPr>
          <w:b/>
          <w:bCs/>
        </w:rPr>
      </w:pPr>
      <w:r w:rsidRPr="000704B1">
        <w:rPr>
          <w:b/>
          <w:bCs/>
        </w:rPr>
        <w:t>CONCLUSION</w:t>
      </w:r>
    </w:p>
    <w:p w:rsidR="001773B4" w:rsidRPr="000704B1" w:rsidRDefault="001773B4" w:rsidP="001773B4">
      <w:pPr>
        <w:jc w:val="center"/>
        <w:rPr>
          <w:b/>
          <w:bCs/>
        </w:rPr>
      </w:pPr>
    </w:p>
    <w:p w:rsidR="002B5543" w:rsidRPr="000704B1" w:rsidRDefault="00752E90" w:rsidP="001773B4">
      <w:pPr>
        <w:autoSpaceDE w:val="0"/>
        <w:autoSpaceDN w:val="0"/>
        <w:adjustRightInd w:val="0"/>
        <w:jc w:val="both"/>
      </w:pPr>
      <w:r w:rsidRPr="000704B1">
        <w:rPr>
          <w:bCs/>
        </w:rPr>
        <w:t xml:space="preserve">Our study supports the </w:t>
      </w:r>
      <w:r w:rsidR="00090EFF" w:rsidRPr="000704B1">
        <w:rPr>
          <w:bCs/>
        </w:rPr>
        <w:t>effectiveness</w:t>
      </w:r>
      <w:r w:rsidRPr="000704B1">
        <w:rPr>
          <w:bCs/>
        </w:rPr>
        <w:t xml:space="preserve"> of the </w:t>
      </w:r>
      <w:r w:rsidR="004E6624">
        <w:rPr>
          <w:bCs/>
        </w:rPr>
        <w:t>Z-score</w:t>
      </w:r>
      <w:r w:rsidRPr="000704B1">
        <w:rPr>
          <w:bCs/>
        </w:rPr>
        <w:t xml:space="preserve"> methodology for predicting company failure in China.  </w:t>
      </w:r>
      <w:r w:rsidR="006E4E48" w:rsidRPr="000704B1">
        <w:rPr>
          <w:bCs/>
        </w:rPr>
        <w:t>Overall,</w:t>
      </w:r>
      <w:r w:rsidR="002B5543" w:rsidRPr="000704B1">
        <w:rPr>
          <w:bCs/>
        </w:rPr>
        <w:t xml:space="preserve"> </w:t>
      </w:r>
      <w:r w:rsidR="0068285D" w:rsidRPr="000704B1">
        <w:rPr>
          <w:bCs/>
        </w:rPr>
        <w:t>the re-estimated</w:t>
      </w:r>
      <w:r w:rsidR="002B5543" w:rsidRPr="000704B1">
        <w:rPr>
          <w:bCs/>
        </w:rPr>
        <w:t xml:space="preserve"> model </w:t>
      </w:r>
      <w:r w:rsidRPr="000704B1">
        <w:rPr>
          <w:bCs/>
        </w:rPr>
        <w:t xml:space="preserve">with recalculated coefficients </w:t>
      </w:r>
      <w:r w:rsidR="0068285D" w:rsidRPr="000704B1">
        <w:rPr>
          <w:bCs/>
        </w:rPr>
        <w:t xml:space="preserve">but the same five financial ratios as Altman’s model </w:t>
      </w:r>
      <w:r w:rsidR="002B5543" w:rsidRPr="000704B1">
        <w:rPr>
          <w:bCs/>
        </w:rPr>
        <w:t>has higher prediction accuracy for the non</w:t>
      </w:r>
      <w:r w:rsidR="00F92710" w:rsidRPr="000704B1">
        <w:rPr>
          <w:bCs/>
        </w:rPr>
        <w:t>-</w:t>
      </w:r>
      <w:r w:rsidR="002B5543" w:rsidRPr="000704B1">
        <w:rPr>
          <w:bCs/>
        </w:rPr>
        <w:t xml:space="preserve">delisted group while Altman’s (1968) model has higher prediction accuracy for the delisted group. </w:t>
      </w:r>
      <w:r w:rsidR="0068285D" w:rsidRPr="000704B1">
        <w:rPr>
          <w:bCs/>
        </w:rPr>
        <w:t xml:space="preserve">Our revised model with three financial ratios has higher </w:t>
      </w:r>
      <w:r w:rsidR="00D9257B">
        <w:rPr>
          <w:bCs/>
        </w:rPr>
        <w:t xml:space="preserve">overall </w:t>
      </w:r>
      <w:r w:rsidR="0068285D" w:rsidRPr="000704B1">
        <w:rPr>
          <w:bCs/>
        </w:rPr>
        <w:t xml:space="preserve">prediction </w:t>
      </w:r>
      <w:r w:rsidR="00BE7E0B" w:rsidRPr="000704B1">
        <w:rPr>
          <w:bCs/>
        </w:rPr>
        <w:t xml:space="preserve">accuracy than both the re-estimated model and Altman’s model. The revised model includes a financial ratio that is not considered in the other two models. </w:t>
      </w:r>
      <w:r w:rsidR="00BE7E0B" w:rsidRPr="00A57E61">
        <w:rPr>
          <w:bCs/>
        </w:rPr>
        <w:t xml:space="preserve">Future research </w:t>
      </w:r>
      <w:r w:rsidR="005D1AA9" w:rsidRPr="00A57E61">
        <w:rPr>
          <w:bCs/>
        </w:rPr>
        <w:t xml:space="preserve">is planned to test the 3 models in this paper against the entire population of Chinese listed companies for a longer period.  Future research also is planned to </w:t>
      </w:r>
      <w:r w:rsidR="00BE7E0B" w:rsidRPr="00A57E61">
        <w:rPr>
          <w:bCs/>
        </w:rPr>
        <w:t xml:space="preserve">employ Olson’s </w:t>
      </w:r>
      <w:r w:rsidR="005D1AA9" w:rsidRPr="00A57E61">
        <w:rPr>
          <w:bCs/>
        </w:rPr>
        <w:t xml:space="preserve">logit </w:t>
      </w:r>
      <w:r w:rsidR="00BE7E0B" w:rsidRPr="00A57E61">
        <w:rPr>
          <w:bCs/>
        </w:rPr>
        <w:t xml:space="preserve">model with </w:t>
      </w:r>
      <w:r w:rsidR="005D1AA9" w:rsidRPr="00A57E61">
        <w:rPr>
          <w:bCs/>
        </w:rPr>
        <w:t>a large sample or whole population</w:t>
      </w:r>
      <w:r w:rsidR="00E74184" w:rsidRPr="00A57E61">
        <w:rPr>
          <w:bCs/>
        </w:rPr>
        <w:t xml:space="preserve">. </w:t>
      </w:r>
      <w:r w:rsidR="00BE7E0B" w:rsidRPr="00A57E61">
        <w:rPr>
          <w:bCs/>
        </w:rPr>
        <w:t xml:space="preserve"> </w:t>
      </w:r>
      <w:r w:rsidR="002B5543" w:rsidRPr="00A57E61">
        <w:t xml:space="preserve"> </w:t>
      </w:r>
      <w:r w:rsidR="005D1AA9" w:rsidRPr="00A57E61">
        <w:t>It then may be possible to compare the efficacy of MDA versus logit for Chinese listed companies.</w:t>
      </w:r>
    </w:p>
    <w:p w:rsidR="00934854" w:rsidRPr="000704B1" w:rsidRDefault="00934854" w:rsidP="001773B4">
      <w:pPr>
        <w:jc w:val="both"/>
      </w:pPr>
    </w:p>
    <w:p w:rsidR="002811E4" w:rsidRDefault="002811E4" w:rsidP="001773B4">
      <w:pPr>
        <w:jc w:val="center"/>
        <w:rPr>
          <w:b/>
        </w:rPr>
      </w:pPr>
    </w:p>
    <w:p w:rsidR="002811E4" w:rsidRDefault="002811E4" w:rsidP="001773B4">
      <w:pPr>
        <w:jc w:val="center"/>
        <w:rPr>
          <w:b/>
        </w:rPr>
      </w:pPr>
    </w:p>
    <w:p w:rsidR="008449EA" w:rsidRPr="000704B1" w:rsidRDefault="001773B4" w:rsidP="001773B4">
      <w:pPr>
        <w:jc w:val="center"/>
        <w:rPr>
          <w:b/>
        </w:rPr>
      </w:pPr>
      <w:r w:rsidRPr="000704B1">
        <w:rPr>
          <w:b/>
        </w:rPr>
        <w:lastRenderedPageBreak/>
        <w:t>REFERENCES:</w:t>
      </w:r>
    </w:p>
    <w:p w:rsidR="00517C21" w:rsidRPr="000704B1" w:rsidRDefault="00517C21" w:rsidP="001773B4"/>
    <w:p w:rsidR="0052482C" w:rsidRPr="00450B78" w:rsidRDefault="0067531C" w:rsidP="001773B4">
      <w:pPr>
        <w:pStyle w:val="NoSpacing"/>
        <w:rPr>
          <w:rStyle w:val="medium-font1"/>
          <w:rFonts w:ascii="Times New Roman" w:hAnsi="Times New Roman"/>
          <w:sz w:val="24"/>
          <w:szCs w:val="24"/>
        </w:rPr>
      </w:pPr>
      <w:r>
        <w:rPr>
          <w:rFonts w:ascii="Times New Roman" w:hAnsi="Times New Roman"/>
          <w:sz w:val="24"/>
          <w:szCs w:val="24"/>
        </w:rPr>
        <w:t xml:space="preserve">[1] </w:t>
      </w:r>
      <w:r w:rsidR="0052482C" w:rsidRPr="00450B78">
        <w:rPr>
          <w:rFonts w:ascii="Times New Roman" w:hAnsi="Times New Roman"/>
          <w:sz w:val="24"/>
          <w:szCs w:val="24"/>
        </w:rPr>
        <w:t xml:space="preserve">Agarwal, Vineet and Richard J. Taffler. 2007. Twenty-five Years of the Taffler Z-score Model: Does It Really Have Predictive Ability? </w:t>
      </w:r>
      <w:r w:rsidR="0052482C" w:rsidRPr="00450B78">
        <w:rPr>
          <w:rFonts w:ascii="Times New Roman" w:hAnsi="Times New Roman"/>
          <w:i/>
          <w:sz w:val="24"/>
          <w:szCs w:val="24"/>
        </w:rPr>
        <w:t>Accounting and Business Research</w:t>
      </w:r>
      <w:r w:rsidR="0052482C" w:rsidRPr="00450B78">
        <w:rPr>
          <w:rFonts w:ascii="Times New Roman" w:hAnsi="Times New Roman"/>
          <w:sz w:val="24"/>
          <w:szCs w:val="24"/>
        </w:rPr>
        <w:t xml:space="preserve"> 37(4): 285-300.</w:t>
      </w:r>
    </w:p>
    <w:p w:rsidR="0052482C" w:rsidRPr="00450B78" w:rsidRDefault="0067531C" w:rsidP="001773B4">
      <w:pPr>
        <w:pStyle w:val="NoSpacing"/>
        <w:rPr>
          <w:rFonts w:ascii="Times New Roman" w:hAnsi="Times New Roman"/>
          <w:sz w:val="24"/>
          <w:szCs w:val="24"/>
        </w:rPr>
      </w:pPr>
      <w:r>
        <w:rPr>
          <w:rFonts w:ascii="Times New Roman" w:hAnsi="Times New Roman"/>
          <w:sz w:val="24"/>
          <w:szCs w:val="24"/>
        </w:rPr>
        <w:t xml:space="preserve">[2] </w:t>
      </w:r>
      <w:r w:rsidR="0052482C" w:rsidRPr="00450B78">
        <w:rPr>
          <w:rFonts w:ascii="Times New Roman" w:hAnsi="Times New Roman"/>
          <w:sz w:val="24"/>
          <w:szCs w:val="24"/>
        </w:rPr>
        <w:t xml:space="preserve">Altman, Edward I.  1968. Financial Ratios, Discriminant Analysis and the Prediction of Corporation Bankruptcy. </w:t>
      </w:r>
      <w:r w:rsidR="0052482C" w:rsidRPr="00450B78">
        <w:rPr>
          <w:rFonts w:ascii="Times New Roman" w:hAnsi="Times New Roman"/>
          <w:i/>
          <w:sz w:val="24"/>
          <w:szCs w:val="24"/>
        </w:rPr>
        <w:t>The Journal of Finance</w:t>
      </w:r>
      <w:r w:rsidR="0052482C" w:rsidRPr="00450B78">
        <w:rPr>
          <w:rFonts w:ascii="Times New Roman" w:hAnsi="Times New Roman"/>
          <w:sz w:val="24"/>
          <w:szCs w:val="24"/>
        </w:rPr>
        <w:t xml:space="preserve"> 23: 589-609.</w:t>
      </w:r>
    </w:p>
    <w:p w:rsidR="0052482C" w:rsidRPr="00450B78" w:rsidRDefault="0067531C" w:rsidP="001773B4">
      <w:pPr>
        <w:pStyle w:val="NoSpacing"/>
        <w:rPr>
          <w:rStyle w:val="medium-font1"/>
          <w:rFonts w:ascii="Times New Roman" w:hAnsi="Times New Roman"/>
          <w:sz w:val="24"/>
          <w:szCs w:val="24"/>
        </w:rPr>
      </w:pPr>
      <w:r>
        <w:rPr>
          <w:rFonts w:ascii="Times New Roman" w:hAnsi="Times New Roman"/>
          <w:sz w:val="24"/>
          <w:szCs w:val="24"/>
        </w:rPr>
        <w:t xml:space="preserve">[3] </w:t>
      </w:r>
      <w:r w:rsidR="0052482C" w:rsidRPr="00450B78">
        <w:rPr>
          <w:rFonts w:ascii="Times New Roman" w:hAnsi="Times New Roman"/>
          <w:sz w:val="24"/>
          <w:szCs w:val="24"/>
        </w:rPr>
        <w:t xml:space="preserve">Altman, Edward I. 1984. The Success of Business Failure Prediction Models: An International Survey. </w:t>
      </w:r>
      <w:r w:rsidR="0052482C" w:rsidRPr="00450B78">
        <w:rPr>
          <w:rFonts w:ascii="Times New Roman" w:hAnsi="Times New Roman"/>
          <w:i/>
          <w:sz w:val="24"/>
          <w:szCs w:val="24"/>
        </w:rPr>
        <w:t>Journal of Banking &amp; Finance</w:t>
      </w:r>
      <w:r w:rsidR="0052482C" w:rsidRPr="00450B78">
        <w:rPr>
          <w:rFonts w:ascii="Times New Roman" w:hAnsi="Times New Roman"/>
          <w:sz w:val="24"/>
          <w:szCs w:val="24"/>
        </w:rPr>
        <w:t xml:space="preserve"> 8: 171-98. </w:t>
      </w:r>
    </w:p>
    <w:p w:rsidR="0052482C" w:rsidRPr="00450B78" w:rsidRDefault="0067531C" w:rsidP="001773B4">
      <w:pPr>
        <w:pStyle w:val="NoSpacing"/>
        <w:rPr>
          <w:rFonts w:ascii="Times New Roman" w:hAnsi="Times New Roman"/>
          <w:sz w:val="24"/>
          <w:szCs w:val="24"/>
        </w:rPr>
      </w:pPr>
      <w:r>
        <w:rPr>
          <w:rFonts w:ascii="Times New Roman" w:hAnsi="Times New Roman"/>
          <w:sz w:val="24"/>
          <w:szCs w:val="24"/>
        </w:rPr>
        <w:t>[4]</w:t>
      </w:r>
      <w:r w:rsidR="0052482C" w:rsidRPr="00450B78">
        <w:rPr>
          <w:rFonts w:ascii="Times New Roman" w:hAnsi="Times New Roman"/>
          <w:sz w:val="24"/>
          <w:szCs w:val="24"/>
        </w:rPr>
        <w:t xml:space="preserve">Beaver, William H. 1966. Financial Ratios as Predictors of Failure. </w:t>
      </w:r>
      <w:r w:rsidR="0052482C" w:rsidRPr="00450B78">
        <w:rPr>
          <w:rFonts w:ascii="Times New Roman" w:hAnsi="Times New Roman"/>
          <w:i/>
          <w:sz w:val="24"/>
          <w:szCs w:val="24"/>
        </w:rPr>
        <w:t>Journal of Accounting Research</w:t>
      </w:r>
      <w:r w:rsidR="0052482C" w:rsidRPr="00450B78">
        <w:rPr>
          <w:rFonts w:ascii="Times New Roman" w:hAnsi="Times New Roman"/>
          <w:sz w:val="24"/>
          <w:szCs w:val="24"/>
        </w:rPr>
        <w:t xml:space="preserve"> 4: 71-111 .</w:t>
      </w:r>
    </w:p>
    <w:p w:rsidR="0052482C" w:rsidRPr="00450B78" w:rsidRDefault="0067531C" w:rsidP="001773B4">
      <w:pPr>
        <w:pStyle w:val="NoSpacing"/>
        <w:rPr>
          <w:rStyle w:val="medium-font1"/>
          <w:rFonts w:ascii="Times New Roman" w:hAnsi="Times New Roman"/>
          <w:sz w:val="24"/>
          <w:szCs w:val="24"/>
        </w:rPr>
      </w:pPr>
      <w:r>
        <w:rPr>
          <w:rFonts w:ascii="Times New Roman" w:hAnsi="Times New Roman"/>
          <w:sz w:val="24"/>
          <w:szCs w:val="24"/>
        </w:rPr>
        <w:t xml:space="preserve">[5] </w:t>
      </w:r>
      <w:r w:rsidR="0052482C" w:rsidRPr="00450B78">
        <w:rPr>
          <w:rFonts w:ascii="Times New Roman" w:hAnsi="Times New Roman"/>
          <w:sz w:val="24"/>
          <w:szCs w:val="24"/>
        </w:rPr>
        <w:t>Boritz,  J. Efrim, Duane B. Kennedy</w:t>
      </w:r>
      <w:r w:rsidR="005E03F1" w:rsidRPr="00450B78">
        <w:rPr>
          <w:rFonts w:ascii="Times New Roman" w:hAnsi="Times New Roman"/>
          <w:sz w:val="24"/>
          <w:szCs w:val="24"/>
        </w:rPr>
        <w:t>, and</w:t>
      </w:r>
      <w:r w:rsidR="0052482C" w:rsidRPr="00450B78">
        <w:rPr>
          <w:rFonts w:ascii="Times New Roman" w:hAnsi="Times New Roman"/>
          <w:sz w:val="24"/>
          <w:szCs w:val="24"/>
        </w:rPr>
        <w:t xml:space="preserve"> Jerry Y. Sun. 2007. Predicting Business Failure in Canada. </w:t>
      </w:r>
      <w:r w:rsidR="0052482C" w:rsidRPr="00450B78">
        <w:rPr>
          <w:rFonts w:ascii="Times New Roman" w:hAnsi="Times New Roman"/>
          <w:i/>
          <w:sz w:val="24"/>
          <w:szCs w:val="24"/>
        </w:rPr>
        <w:t>Accounting Perspectives</w:t>
      </w:r>
      <w:r w:rsidR="0052482C" w:rsidRPr="00450B78">
        <w:rPr>
          <w:rFonts w:ascii="Times New Roman" w:hAnsi="Times New Roman"/>
          <w:sz w:val="24"/>
          <w:szCs w:val="24"/>
        </w:rPr>
        <w:t xml:space="preserve"> 6(2): 141-65.</w:t>
      </w:r>
    </w:p>
    <w:p w:rsidR="0052482C" w:rsidRPr="00450B78" w:rsidRDefault="0067531C" w:rsidP="001773B4">
      <w:pPr>
        <w:pStyle w:val="NoSpacing"/>
        <w:rPr>
          <w:rFonts w:ascii="Times New Roman" w:hAnsi="Times New Roman"/>
          <w:sz w:val="24"/>
          <w:szCs w:val="24"/>
        </w:rPr>
      </w:pPr>
      <w:r>
        <w:rPr>
          <w:rStyle w:val="medium-font1"/>
          <w:rFonts w:ascii="Times New Roman" w:hAnsi="Times New Roman"/>
          <w:sz w:val="24"/>
          <w:szCs w:val="24"/>
        </w:rPr>
        <w:t xml:space="preserve">[6] </w:t>
      </w:r>
      <w:r w:rsidR="0052482C" w:rsidRPr="00450B78">
        <w:rPr>
          <w:rFonts w:ascii="Times New Roman" w:hAnsi="Times New Roman"/>
          <w:sz w:val="24"/>
          <w:szCs w:val="24"/>
        </w:rPr>
        <w:t>Charitou, A</w:t>
      </w:r>
      <w:r w:rsidR="005E03F1" w:rsidRPr="00450B78">
        <w:rPr>
          <w:rFonts w:ascii="Times New Roman" w:hAnsi="Times New Roman"/>
          <w:sz w:val="24"/>
          <w:szCs w:val="24"/>
        </w:rPr>
        <w:t>ndreas</w:t>
      </w:r>
      <w:r w:rsidR="0052482C" w:rsidRPr="00450B78">
        <w:rPr>
          <w:rFonts w:ascii="Times New Roman" w:hAnsi="Times New Roman"/>
          <w:sz w:val="24"/>
          <w:szCs w:val="24"/>
        </w:rPr>
        <w:t>, E</w:t>
      </w:r>
      <w:r w:rsidR="005E03F1" w:rsidRPr="00450B78">
        <w:rPr>
          <w:rFonts w:ascii="Times New Roman" w:hAnsi="Times New Roman"/>
          <w:sz w:val="24"/>
          <w:szCs w:val="24"/>
        </w:rPr>
        <w:t>vi</w:t>
      </w:r>
      <w:r w:rsidR="0052482C" w:rsidRPr="00450B78">
        <w:rPr>
          <w:rFonts w:ascii="Times New Roman" w:hAnsi="Times New Roman"/>
          <w:sz w:val="24"/>
          <w:szCs w:val="24"/>
        </w:rPr>
        <w:t xml:space="preserve"> Neophytou, and C</w:t>
      </w:r>
      <w:r w:rsidR="005E03F1" w:rsidRPr="00450B78">
        <w:rPr>
          <w:rFonts w:ascii="Times New Roman" w:hAnsi="Times New Roman"/>
          <w:sz w:val="24"/>
          <w:szCs w:val="24"/>
        </w:rPr>
        <w:t>hris</w:t>
      </w:r>
      <w:r w:rsidR="0052482C" w:rsidRPr="00450B78">
        <w:rPr>
          <w:rFonts w:ascii="Times New Roman" w:hAnsi="Times New Roman"/>
          <w:sz w:val="24"/>
          <w:szCs w:val="24"/>
        </w:rPr>
        <w:t xml:space="preserve"> Charalambous. 2004. Predicting corporate failure: Empirical Evidence for the UK. </w:t>
      </w:r>
      <w:r w:rsidR="0052482C" w:rsidRPr="00450B78">
        <w:rPr>
          <w:rFonts w:ascii="Times New Roman" w:hAnsi="Times New Roman"/>
          <w:i/>
          <w:sz w:val="24"/>
          <w:szCs w:val="24"/>
        </w:rPr>
        <w:t>European Accounting Review</w:t>
      </w:r>
      <w:r w:rsidR="0052482C" w:rsidRPr="00450B78">
        <w:rPr>
          <w:rFonts w:ascii="Times New Roman" w:hAnsi="Times New Roman"/>
          <w:sz w:val="24"/>
          <w:szCs w:val="24"/>
        </w:rPr>
        <w:t xml:space="preserve"> 13(3): 465-97.</w:t>
      </w:r>
    </w:p>
    <w:p w:rsidR="0052482C" w:rsidRPr="00450B78" w:rsidRDefault="0067531C" w:rsidP="001773B4">
      <w:pPr>
        <w:pStyle w:val="NoSpacing"/>
        <w:rPr>
          <w:rFonts w:ascii="Times New Roman" w:hAnsi="Times New Roman"/>
          <w:sz w:val="24"/>
          <w:szCs w:val="24"/>
        </w:rPr>
      </w:pPr>
      <w:r>
        <w:rPr>
          <w:rFonts w:ascii="Times New Roman" w:hAnsi="Times New Roman"/>
          <w:sz w:val="24"/>
          <w:szCs w:val="24"/>
        </w:rPr>
        <w:t xml:space="preserve">[7] </w:t>
      </w:r>
      <w:r w:rsidR="0052482C" w:rsidRPr="00450B78">
        <w:rPr>
          <w:rFonts w:ascii="Times New Roman" w:hAnsi="Times New Roman"/>
          <w:sz w:val="24"/>
          <w:szCs w:val="24"/>
        </w:rPr>
        <w:t xml:space="preserve">Deakin, Edward B. 1972. A Discriminant analysis of Predictors of Business Failure. </w:t>
      </w:r>
      <w:r w:rsidR="0052482C" w:rsidRPr="00450B78">
        <w:rPr>
          <w:rFonts w:ascii="Times New Roman" w:hAnsi="Times New Roman"/>
          <w:i/>
          <w:sz w:val="24"/>
          <w:szCs w:val="24"/>
        </w:rPr>
        <w:t>Journal of Accounting Research</w:t>
      </w:r>
      <w:r w:rsidR="0052482C" w:rsidRPr="00450B78">
        <w:rPr>
          <w:rFonts w:ascii="Times New Roman" w:hAnsi="Times New Roman"/>
          <w:sz w:val="24"/>
          <w:szCs w:val="24"/>
        </w:rPr>
        <w:t xml:space="preserve"> 10: 167-79.</w:t>
      </w:r>
    </w:p>
    <w:p w:rsidR="0052482C" w:rsidRPr="00450B78" w:rsidRDefault="0067531C" w:rsidP="001773B4">
      <w:pPr>
        <w:pStyle w:val="NoSpacing"/>
        <w:rPr>
          <w:rStyle w:val="medium-font1"/>
          <w:rFonts w:ascii="Times New Roman" w:hAnsi="Times New Roman"/>
          <w:sz w:val="24"/>
          <w:szCs w:val="24"/>
        </w:rPr>
      </w:pPr>
      <w:r>
        <w:rPr>
          <w:rFonts w:ascii="Times New Roman" w:eastAsia="Times New Roman" w:hAnsi="Times New Roman"/>
          <w:sz w:val="24"/>
          <w:szCs w:val="24"/>
        </w:rPr>
        <w:t>[8]</w:t>
      </w:r>
      <w:bookmarkStart w:id="0" w:name="Result_59"/>
      <w:r>
        <w:rPr>
          <w:rFonts w:ascii="Times New Roman" w:eastAsia="Times New Roman" w:hAnsi="Times New Roman"/>
          <w:sz w:val="24"/>
          <w:szCs w:val="24"/>
        </w:rPr>
        <w:t xml:space="preserve"> </w:t>
      </w:r>
      <w:r w:rsidR="0052482C" w:rsidRPr="00450B78">
        <w:rPr>
          <w:rStyle w:val="medium-font1"/>
          <w:rFonts w:ascii="Times New Roman" w:hAnsi="Times New Roman"/>
          <w:sz w:val="24"/>
          <w:szCs w:val="24"/>
        </w:rPr>
        <w:t>Grice, John Stephen</w:t>
      </w:r>
      <w:r w:rsidR="005E03F1" w:rsidRPr="00450B78">
        <w:rPr>
          <w:rStyle w:val="medium-font1"/>
          <w:rFonts w:ascii="Times New Roman" w:hAnsi="Times New Roman"/>
          <w:sz w:val="24"/>
          <w:szCs w:val="24"/>
        </w:rPr>
        <w:t xml:space="preserve"> and</w:t>
      </w:r>
      <w:r w:rsidR="0052482C" w:rsidRPr="00450B78">
        <w:rPr>
          <w:rStyle w:val="medium-font1"/>
          <w:rFonts w:ascii="Times New Roman" w:hAnsi="Times New Roman"/>
          <w:sz w:val="24"/>
          <w:szCs w:val="24"/>
        </w:rPr>
        <w:t xml:space="preserve">  Michael T.</w:t>
      </w:r>
      <w:r w:rsidR="005E03F1" w:rsidRPr="00450B78">
        <w:rPr>
          <w:rStyle w:val="medium-font1"/>
          <w:rFonts w:ascii="Times New Roman" w:hAnsi="Times New Roman"/>
          <w:sz w:val="24"/>
          <w:szCs w:val="24"/>
        </w:rPr>
        <w:t xml:space="preserve"> Dugan.</w:t>
      </w:r>
      <w:r w:rsidR="0052482C" w:rsidRPr="00450B78">
        <w:rPr>
          <w:rStyle w:val="medium-font1"/>
          <w:rFonts w:ascii="Times New Roman" w:hAnsi="Times New Roman"/>
          <w:sz w:val="24"/>
          <w:szCs w:val="24"/>
        </w:rPr>
        <w:t xml:space="preserve"> 2001. </w:t>
      </w:r>
      <w:hyperlink r:id="rId10" w:tooltip="The Limitations of Bankruptcy Models: Some Cautions for the Researcher." w:history="1">
        <w:r w:rsidR="0052482C" w:rsidRPr="00450B78">
          <w:rPr>
            <w:rStyle w:val="Hyperlink"/>
            <w:rFonts w:ascii="Times New Roman" w:hAnsi="Times New Roman"/>
            <w:color w:val="auto"/>
            <w:sz w:val="24"/>
            <w:szCs w:val="24"/>
            <w:u w:val="none"/>
          </w:rPr>
          <w:t>The Limitations of Bankruptcy Models: Some Cautions for the Researcher.</w:t>
        </w:r>
      </w:hyperlink>
      <w:bookmarkEnd w:id="0"/>
      <w:r w:rsidR="0052482C" w:rsidRPr="00450B78">
        <w:rPr>
          <w:rFonts w:ascii="Times New Roman" w:hAnsi="Times New Roman"/>
          <w:sz w:val="24"/>
          <w:szCs w:val="24"/>
        </w:rPr>
        <w:t xml:space="preserve"> </w:t>
      </w:r>
      <w:r w:rsidR="0052482C" w:rsidRPr="00450B78">
        <w:rPr>
          <w:rStyle w:val="medium-font1"/>
          <w:rFonts w:ascii="Times New Roman" w:hAnsi="Times New Roman"/>
          <w:i/>
          <w:sz w:val="24"/>
          <w:szCs w:val="24"/>
        </w:rPr>
        <w:t>Review of Quantitative Finance &amp; Accounting</w:t>
      </w:r>
      <w:r w:rsidR="0052482C" w:rsidRPr="00450B78">
        <w:rPr>
          <w:rStyle w:val="medium-font1"/>
          <w:rFonts w:ascii="Times New Roman" w:hAnsi="Times New Roman"/>
          <w:sz w:val="24"/>
          <w:szCs w:val="24"/>
        </w:rPr>
        <w:t xml:space="preserve"> 17</w:t>
      </w:r>
      <w:r w:rsidR="00000150" w:rsidRPr="00450B78">
        <w:rPr>
          <w:rStyle w:val="medium-font1"/>
          <w:rFonts w:ascii="Times New Roman" w:hAnsi="Times New Roman"/>
          <w:sz w:val="24"/>
          <w:szCs w:val="24"/>
        </w:rPr>
        <w:t>(</w:t>
      </w:r>
      <w:r w:rsidR="0052482C" w:rsidRPr="00450B78">
        <w:rPr>
          <w:rStyle w:val="medium-font1"/>
          <w:rFonts w:ascii="Times New Roman" w:hAnsi="Times New Roman"/>
          <w:sz w:val="24"/>
          <w:szCs w:val="24"/>
        </w:rPr>
        <w:t>2</w:t>
      </w:r>
      <w:r w:rsidR="00000150" w:rsidRPr="00450B78">
        <w:rPr>
          <w:rStyle w:val="medium-font1"/>
          <w:rFonts w:ascii="Times New Roman" w:hAnsi="Times New Roman"/>
          <w:sz w:val="24"/>
          <w:szCs w:val="24"/>
        </w:rPr>
        <w:t xml:space="preserve">): </w:t>
      </w:r>
      <w:r w:rsidR="0052482C" w:rsidRPr="00450B78">
        <w:rPr>
          <w:rStyle w:val="medium-font1"/>
          <w:rFonts w:ascii="Times New Roman" w:hAnsi="Times New Roman"/>
          <w:sz w:val="24"/>
          <w:szCs w:val="24"/>
        </w:rPr>
        <w:t>151</w:t>
      </w:r>
      <w:r w:rsidR="00000150" w:rsidRPr="00450B78">
        <w:rPr>
          <w:rStyle w:val="medium-font1"/>
          <w:rFonts w:ascii="Times New Roman" w:hAnsi="Times New Roman"/>
          <w:sz w:val="24"/>
          <w:szCs w:val="24"/>
        </w:rPr>
        <w:t>-166</w:t>
      </w:r>
      <w:r w:rsidR="0052482C" w:rsidRPr="00450B78">
        <w:rPr>
          <w:rStyle w:val="medium-font1"/>
          <w:rFonts w:ascii="Times New Roman" w:hAnsi="Times New Roman"/>
          <w:sz w:val="24"/>
          <w:szCs w:val="24"/>
        </w:rPr>
        <w:t>.</w:t>
      </w:r>
    </w:p>
    <w:p w:rsidR="0052482C" w:rsidRPr="00450B78" w:rsidRDefault="0067531C" w:rsidP="001773B4">
      <w:pPr>
        <w:pStyle w:val="NoSpacing"/>
        <w:rPr>
          <w:rFonts w:ascii="Times New Roman" w:eastAsia="Times New Roman" w:hAnsi="Times New Roman"/>
          <w:sz w:val="24"/>
          <w:szCs w:val="24"/>
        </w:rPr>
      </w:pPr>
      <w:r>
        <w:rPr>
          <w:rStyle w:val="medium-font1"/>
          <w:rFonts w:ascii="Times New Roman" w:hAnsi="Times New Roman"/>
          <w:sz w:val="24"/>
          <w:szCs w:val="24"/>
        </w:rPr>
        <w:t xml:space="preserve">[9] </w:t>
      </w:r>
      <w:r w:rsidR="0052482C" w:rsidRPr="00450B78">
        <w:rPr>
          <w:rFonts w:ascii="Times New Roman" w:eastAsia="Times New Roman" w:hAnsi="Times New Roman"/>
          <w:sz w:val="24"/>
          <w:szCs w:val="24"/>
        </w:rPr>
        <w:t>Grice, John Stephen</w:t>
      </w:r>
      <w:r w:rsidR="005E03F1" w:rsidRPr="00450B78">
        <w:rPr>
          <w:rFonts w:ascii="Times New Roman" w:eastAsia="Times New Roman" w:hAnsi="Times New Roman"/>
          <w:sz w:val="24"/>
          <w:szCs w:val="24"/>
        </w:rPr>
        <w:t xml:space="preserve"> and</w:t>
      </w:r>
      <w:r w:rsidR="0052482C" w:rsidRPr="00450B78">
        <w:rPr>
          <w:rFonts w:ascii="Times New Roman" w:eastAsia="Times New Roman" w:hAnsi="Times New Roman"/>
          <w:sz w:val="24"/>
          <w:szCs w:val="24"/>
        </w:rPr>
        <w:t xml:space="preserve"> Robert W. </w:t>
      </w:r>
      <w:r w:rsidR="005E03F1" w:rsidRPr="00450B78">
        <w:rPr>
          <w:rFonts w:ascii="Times New Roman" w:eastAsia="Times New Roman" w:hAnsi="Times New Roman"/>
          <w:sz w:val="24"/>
          <w:szCs w:val="24"/>
        </w:rPr>
        <w:t xml:space="preserve">Ingram. </w:t>
      </w:r>
      <w:r w:rsidR="0052482C" w:rsidRPr="00450B78">
        <w:rPr>
          <w:rFonts w:ascii="Times New Roman" w:eastAsia="Times New Roman" w:hAnsi="Times New Roman"/>
          <w:sz w:val="24"/>
          <w:szCs w:val="24"/>
        </w:rPr>
        <w:t xml:space="preserve">2001. </w:t>
      </w:r>
      <w:r w:rsidR="00623422" w:rsidRPr="00450B78">
        <w:rPr>
          <w:rFonts w:ascii="Times New Roman" w:eastAsia="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1" o:title=""/>
          </v:shape>
          <w:control r:id="rId12" w:name="DefaultOcxName" w:shapeid="_x0000_i1028"/>
        </w:object>
      </w:r>
      <w:bookmarkStart w:id="1" w:name="Result_58"/>
      <w:r w:rsidR="00623422" w:rsidRPr="00450B78">
        <w:rPr>
          <w:rFonts w:ascii="Times New Roman" w:eastAsia="Times New Roman" w:hAnsi="Times New Roman"/>
          <w:sz w:val="24"/>
          <w:szCs w:val="24"/>
        </w:rPr>
        <w:fldChar w:fldCharType="begin"/>
      </w:r>
      <w:r w:rsidR="0052482C" w:rsidRPr="00450B78">
        <w:rPr>
          <w:rFonts w:ascii="Times New Roman" w:eastAsia="Times New Roman" w:hAnsi="Times New Roman"/>
          <w:sz w:val="24"/>
          <w:szCs w:val="24"/>
        </w:rPr>
        <w:instrText xml:space="preserve"> HYPERLINK "http://web.ebscohost.com/bsi/viewarticle?data=dGJyMPPp44rp2%2fdV0%2bnjisfk5Ie44%2b2L8uvsRuvX54as2PGBvq2tSa2orki2lq9IuKm2UrGtnlnLnPKK3%2bTxeeHq54fs3%2bJVq6exUK6mtFCxrbc%2b6tfsf7vb7D7i2Lt6896kjN%2fdu1nMnN%2bGu6ewSbGqskqvnOSH8OPfjLvc84Tq6uOQ8gAA&amp;hid=107" \o "Tests of the generalizability of Altman's bankruptcy prediction model." </w:instrText>
      </w:r>
      <w:r w:rsidR="00623422" w:rsidRPr="00450B78">
        <w:rPr>
          <w:rFonts w:ascii="Times New Roman" w:eastAsia="Times New Roman" w:hAnsi="Times New Roman"/>
          <w:sz w:val="24"/>
          <w:szCs w:val="24"/>
        </w:rPr>
        <w:fldChar w:fldCharType="separate"/>
      </w:r>
      <w:r w:rsidR="0052482C" w:rsidRPr="00450B78">
        <w:rPr>
          <w:rFonts w:ascii="Times New Roman" w:eastAsia="Times New Roman" w:hAnsi="Times New Roman"/>
          <w:sz w:val="24"/>
          <w:szCs w:val="24"/>
        </w:rPr>
        <w:t xml:space="preserve">Tests of the </w:t>
      </w:r>
      <w:proofErr w:type="spellStart"/>
      <w:r w:rsidR="0052482C" w:rsidRPr="00450B78">
        <w:rPr>
          <w:rFonts w:ascii="Times New Roman" w:eastAsia="Times New Roman" w:hAnsi="Times New Roman"/>
          <w:sz w:val="24"/>
          <w:szCs w:val="24"/>
        </w:rPr>
        <w:t>Generalizability</w:t>
      </w:r>
      <w:proofErr w:type="spellEnd"/>
      <w:r w:rsidR="0052482C" w:rsidRPr="00450B78">
        <w:rPr>
          <w:rFonts w:ascii="Times New Roman" w:eastAsia="Times New Roman" w:hAnsi="Times New Roman"/>
          <w:sz w:val="24"/>
          <w:szCs w:val="24"/>
        </w:rPr>
        <w:t xml:space="preserve"> of Altman's Bankruptcy Prediction Model.</w:t>
      </w:r>
      <w:r w:rsidR="00623422" w:rsidRPr="00450B78">
        <w:rPr>
          <w:rFonts w:ascii="Times New Roman" w:eastAsia="Times New Roman" w:hAnsi="Times New Roman"/>
          <w:sz w:val="24"/>
          <w:szCs w:val="24"/>
        </w:rPr>
        <w:fldChar w:fldCharType="end"/>
      </w:r>
      <w:bookmarkEnd w:id="1"/>
      <w:r w:rsidR="0052482C" w:rsidRPr="00450B78">
        <w:rPr>
          <w:rFonts w:ascii="Times New Roman" w:eastAsia="Times New Roman" w:hAnsi="Times New Roman"/>
          <w:sz w:val="24"/>
          <w:szCs w:val="24"/>
        </w:rPr>
        <w:t xml:space="preserve"> </w:t>
      </w:r>
      <w:r w:rsidR="0052482C" w:rsidRPr="00450B78">
        <w:rPr>
          <w:rFonts w:ascii="Times New Roman" w:eastAsia="Times New Roman" w:hAnsi="Times New Roman"/>
          <w:i/>
          <w:sz w:val="24"/>
          <w:szCs w:val="24"/>
        </w:rPr>
        <w:t>Journal of Business Research</w:t>
      </w:r>
      <w:r w:rsidR="0052482C" w:rsidRPr="00450B78">
        <w:rPr>
          <w:rFonts w:ascii="Times New Roman" w:eastAsia="Times New Roman" w:hAnsi="Times New Roman"/>
          <w:sz w:val="24"/>
          <w:szCs w:val="24"/>
        </w:rPr>
        <w:t xml:space="preserve"> 54</w:t>
      </w:r>
      <w:r w:rsidR="00000150" w:rsidRPr="00450B78">
        <w:rPr>
          <w:rFonts w:ascii="Times New Roman" w:eastAsia="Times New Roman" w:hAnsi="Times New Roman"/>
          <w:sz w:val="24"/>
          <w:szCs w:val="24"/>
        </w:rPr>
        <w:t>(</w:t>
      </w:r>
      <w:r w:rsidR="0052482C" w:rsidRPr="00450B78">
        <w:rPr>
          <w:rFonts w:ascii="Times New Roman" w:eastAsia="Times New Roman" w:hAnsi="Times New Roman"/>
          <w:sz w:val="24"/>
          <w:szCs w:val="24"/>
        </w:rPr>
        <w:t>1</w:t>
      </w:r>
      <w:r w:rsidR="00000150" w:rsidRPr="00450B78">
        <w:rPr>
          <w:rFonts w:ascii="Times New Roman" w:eastAsia="Times New Roman" w:hAnsi="Times New Roman"/>
          <w:sz w:val="24"/>
          <w:szCs w:val="24"/>
        </w:rPr>
        <w:t>): 53-61</w:t>
      </w:r>
      <w:r w:rsidR="0052482C" w:rsidRPr="00450B78">
        <w:rPr>
          <w:rFonts w:ascii="Times New Roman" w:eastAsia="Times New Roman" w:hAnsi="Times New Roman"/>
          <w:sz w:val="24"/>
          <w:szCs w:val="24"/>
        </w:rPr>
        <w:t>.</w:t>
      </w:r>
    </w:p>
    <w:p w:rsidR="0052482C" w:rsidRPr="00450B78" w:rsidRDefault="0067531C" w:rsidP="001773B4">
      <w:pPr>
        <w:pStyle w:val="NoSpacing"/>
        <w:rPr>
          <w:rFonts w:ascii="Times New Roman" w:hAnsi="Times New Roman"/>
          <w:sz w:val="24"/>
          <w:szCs w:val="24"/>
        </w:rPr>
      </w:pPr>
      <w:bookmarkStart w:id="2" w:name="Result_11"/>
      <w:r>
        <w:rPr>
          <w:rStyle w:val="medium-font1"/>
          <w:rFonts w:ascii="Times New Roman" w:hAnsi="Times New Roman"/>
          <w:sz w:val="24"/>
          <w:szCs w:val="24"/>
        </w:rPr>
        <w:t>[10]</w:t>
      </w:r>
      <w:bookmarkEnd w:id="2"/>
      <w:r>
        <w:rPr>
          <w:rStyle w:val="medium-font1"/>
          <w:rFonts w:ascii="Times New Roman" w:hAnsi="Times New Roman"/>
          <w:sz w:val="24"/>
          <w:szCs w:val="24"/>
        </w:rPr>
        <w:t xml:space="preserve"> </w:t>
      </w:r>
      <w:r w:rsidR="0052482C" w:rsidRPr="00450B78">
        <w:rPr>
          <w:rFonts w:ascii="Times New Roman" w:hAnsi="Times New Roman"/>
          <w:sz w:val="24"/>
          <w:szCs w:val="24"/>
        </w:rPr>
        <w:t xml:space="preserve">Jones, F. 1987. Current Techniques in Bankruptcy Prediction. </w:t>
      </w:r>
      <w:r w:rsidR="0052482C" w:rsidRPr="00450B78">
        <w:rPr>
          <w:rFonts w:ascii="Times New Roman" w:hAnsi="Times New Roman"/>
          <w:i/>
          <w:sz w:val="24"/>
          <w:szCs w:val="24"/>
        </w:rPr>
        <w:t>Journal of Accounting Literature</w:t>
      </w:r>
      <w:r w:rsidR="0052482C" w:rsidRPr="00450B78">
        <w:rPr>
          <w:rFonts w:ascii="Times New Roman" w:hAnsi="Times New Roman"/>
          <w:sz w:val="24"/>
          <w:szCs w:val="24"/>
        </w:rPr>
        <w:t xml:space="preserve"> 6: 131-64.</w:t>
      </w:r>
    </w:p>
    <w:p w:rsidR="0052482C" w:rsidRPr="00450B78" w:rsidRDefault="0067531C" w:rsidP="001773B4">
      <w:pPr>
        <w:pStyle w:val="NoSpacing"/>
        <w:rPr>
          <w:rFonts w:ascii="Times New Roman" w:hAnsi="Times New Roman"/>
          <w:sz w:val="24"/>
          <w:szCs w:val="24"/>
        </w:rPr>
      </w:pPr>
      <w:r>
        <w:rPr>
          <w:rFonts w:ascii="Times New Roman" w:hAnsi="Times New Roman"/>
          <w:sz w:val="24"/>
          <w:szCs w:val="24"/>
        </w:rPr>
        <w:t xml:space="preserve">[11] </w:t>
      </w:r>
      <w:r w:rsidR="0052482C" w:rsidRPr="00450B78">
        <w:rPr>
          <w:rFonts w:ascii="Times New Roman" w:hAnsi="Times New Roman"/>
          <w:sz w:val="24"/>
          <w:szCs w:val="24"/>
        </w:rPr>
        <w:t xml:space="preserve">Ohlson, J.A. 1980. Financial Ratios and the Probabilistic Prediction of Bankruptcy. </w:t>
      </w:r>
      <w:r w:rsidR="0052482C" w:rsidRPr="00450B78">
        <w:rPr>
          <w:rFonts w:ascii="Times New Roman" w:hAnsi="Times New Roman"/>
          <w:i/>
          <w:sz w:val="24"/>
          <w:szCs w:val="24"/>
        </w:rPr>
        <w:t>Journal of Accounting Research</w:t>
      </w:r>
      <w:r w:rsidR="0052482C" w:rsidRPr="00450B78">
        <w:rPr>
          <w:rFonts w:ascii="Times New Roman" w:hAnsi="Times New Roman"/>
          <w:sz w:val="24"/>
          <w:szCs w:val="24"/>
        </w:rPr>
        <w:t>. 18(1):109-31.</w:t>
      </w:r>
    </w:p>
    <w:p w:rsidR="0052482C" w:rsidRPr="00450B78" w:rsidRDefault="0067531C" w:rsidP="001773B4">
      <w:pPr>
        <w:pStyle w:val="NoSpacing"/>
        <w:rPr>
          <w:rStyle w:val="medium-font1"/>
          <w:rFonts w:ascii="Times New Roman" w:hAnsi="Times New Roman"/>
          <w:sz w:val="24"/>
          <w:szCs w:val="24"/>
        </w:rPr>
      </w:pPr>
      <w:r>
        <w:rPr>
          <w:rFonts w:ascii="Times New Roman" w:hAnsi="Times New Roman"/>
          <w:sz w:val="24"/>
          <w:szCs w:val="24"/>
        </w:rPr>
        <w:t xml:space="preserve">[12] </w:t>
      </w:r>
      <w:r w:rsidR="0052482C" w:rsidRPr="00450B78">
        <w:rPr>
          <w:rFonts w:ascii="Times New Roman" w:hAnsi="Times New Roman"/>
          <w:sz w:val="24"/>
          <w:szCs w:val="24"/>
        </w:rPr>
        <w:t xml:space="preserve">O’Leary, D. 1998. Using Neural Networks to Predict Corporate Failure. International </w:t>
      </w:r>
      <w:r w:rsidR="0052482C" w:rsidRPr="00450B78">
        <w:rPr>
          <w:rFonts w:ascii="Times New Roman" w:hAnsi="Times New Roman"/>
          <w:i/>
          <w:sz w:val="24"/>
          <w:szCs w:val="24"/>
        </w:rPr>
        <w:t>Journal of Intelligent Systems in Accounting, Finance and Management</w:t>
      </w:r>
      <w:r w:rsidR="0052482C" w:rsidRPr="00450B78">
        <w:rPr>
          <w:rFonts w:ascii="Times New Roman" w:hAnsi="Times New Roman"/>
          <w:sz w:val="24"/>
          <w:szCs w:val="24"/>
        </w:rPr>
        <w:t xml:space="preserve"> 7(3): 187-97.</w:t>
      </w:r>
    </w:p>
    <w:p w:rsidR="0052482C" w:rsidRPr="00450B78" w:rsidRDefault="0067531C" w:rsidP="001773B4">
      <w:pPr>
        <w:pStyle w:val="NoSpacing"/>
        <w:rPr>
          <w:rFonts w:ascii="Times New Roman" w:hAnsi="Times New Roman"/>
          <w:sz w:val="24"/>
          <w:szCs w:val="24"/>
        </w:rPr>
      </w:pPr>
      <w:r>
        <w:rPr>
          <w:rStyle w:val="medium-font1"/>
          <w:rFonts w:ascii="Times New Roman" w:hAnsi="Times New Roman"/>
          <w:sz w:val="24"/>
          <w:szCs w:val="24"/>
        </w:rPr>
        <w:t xml:space="preserve">[13] </w:t>
      </w:r>
      <w:r w:rsidR="0052482C" w:rsidRPr="00450B78">
        <w:rPr>
          <w:rFonts w:ascii="Times New Roman" w:hAnsi="Times New Roman"/>
          <w:sz w:val="24"/>
          <w:szCs w:val="24"/>
        </w:rPr>
        <w:t>Sandin, Ariel and Marcela</w:t>
      </w:r>
      <w:r w:rsidR="005E03F1" w:rsidRPr="00450B78">
        <w:rPr>
          <w:rFonts w:ascii="Times New Roman" w:hAnsi="Times New Roman"/>
          <w:sz w:val="24"/>
          <w:szCs w:val="24"/>
        </w:rPr>
        <w:t xml:space="preserve"> Porporato</w:t>
      </w:r>
      <w:r w:rsidR="0052482C" w:rsidRPr="00450B78">
        <w:rPr>
          <w:rFonts w:ascii="Times New Roman" w:hAnsi="Times New Roman"/>
          <w:sz w:val="24"/>
          <w:szCs w:val="24"/>
        </w:rPr>
        <w:t xml:space="preserve">. 2007. Corporate Bankruptcy Prediction Models Applied to emerging Economies: Evidence from Argentina in the Years 1991-1998.  </w:t>
      </w:r>
      <w:r w:rsidR="0052482C" w:rsidRPr="00450B78">
        <w:rPr>
          <w:rFonts w:ascii="Times New Roman" w:hAnsi="Times New Roman"/>
          <w:i/>
          <w:sz w:val="24"/>
          <w:szCs w:val="24"/>
        </w:rPr>
        <w:t>International Journal of Commerce and Management</w:t>
      </w:r>
      <w:r w:rsidR="0052482C" w:rsidRPr="00450B78">
        <w:rPr>
          <w:rFonts w:ascii="Times New Roman" w:hAnsi="Times New Roman"/>
          <w:sz w:val="24"/>
          <w:szCs w:val="24"/>
        </w:rPr>
        <w:t xml:space="preserve"> 17(4):295-311.</w:t>
      </w:r>
    </w:p>
    <w:p w:rsidR="0052482C" w:rsidRPr="00450B78" w:rsidRDefault="0067531C" w:rsidP="001773B4">
      <w:pPr>
        <w:pStyle w:val="NoSpacing"/>
        <w:rPr>
          <w:rFonts w:ascii="Times New Roman" w:hAnsi="Times New Roman"/>
          <w:sz w:val="24"/>
          <w:szCs w:val="24"/>
        </w:rPr>
      </w:pPr>
      <w:r>
        <w:rPr>
          <w:rFonts w:ascii="Times New Roman" w:hAnsi="Times New Roman"/>
          <w:sz w:val="24"/>
          <w:szCs w:val="24"/>
        </w:rPr>
        <w:t xml:space="preserve">[14] </w:t>
      </w:r>
      <w:r w:rsidR="0052482C" w:rsidRPr="00450B78">
        <w:rPr>
          <w:rFonts w:ascii="Times New Roman" w:hAnsi="Times New Roman"/>
          <w:sz w:val="24"/>
          <w:szCs w:val="24"/>
        </w:rPr>
        <w:t xml:space="preserve">Taffler, Richard J. 1983. The Assessment of Company Solvency and Performance Using a Statistical Model. </w:t>
      </w:r>
      <w:r w:rsidR="0052482C" w:rsidRPr="00450B78">
        <w:rPr>
          <w:rFonts w:ascii="Times New Roman" w:hAnsi="Times New Roman"/>
          <w:i/>
          <w:sz w:val="24"/>
          <w:szCs w:val="24"/>
        </w:rPr>
        <w:t>Accounting and Business Research</w:t>
      </w:r>
      <w:r w:rsidR="0052482C" w:rsidRPr="00450B78">
        <w:rPr>
          <w:rFonts w:ascii="Times New Roman" w:hAnsi="Times New Roman"/>
          <w:sz w:val="24"/>
          <w:szCs w:val="24"/>
        </w:rPr>
        <w:t xml:space="preserve"> 15(52):</w:t>
      </w:r>
      <w:r w:rsidR="00AB734A" w:rsidRPr="00450B78">
        <w:rPr>
          <w:rFonts w:ascii="Times New Roman" w:hAnsi="Times New Roman"/>
          <w:sz w:val="24"/>
          <w:szCs w:val="24"/>
        </w:rPr>
        <w:t xml:space="preserve"> </w:t>
      </w:r>
      <w:r w:rsidR="0052482C" w:rsidRPr="00450B78">
        <w:rPr>
          <w:rFonts w:ascii="Times New Roman" w:hAnsi="Times New Roman"/>
          <w:sz w:val="24"/>
          <w:szCs w:val="24"/>
        </w:rPr>
        <w:t>295-308.</w:t>
      </w:r>
    </w:p>
    <w:p w:rsidR="00564A25" w:rsidRDefault="0067531C" w:rsidP="001773B4">
      <w:pPr>
        <w:pStyle w:val="NoSpacing"/>
        <w:rPr>
          <w:rFonts w:ascii="Times New Roman" w:hAnsi="Times New Roman"/>
          <w:sz w:val="24"/>
          <w:szCs w:val="24"/>
        </w:rPr>
      </w:pPr>
      <w:r>
        <w:rPr>
          <w:rFonts w:ascii="Times New Roman" w:hAnsi="Times New Roman"/>
          <w:sz w:val="24"/>
          <w:szCs w:val="24"/>
        </w:rPr>
        <w:t xml:space="preserve">[15] </w:t>
      </w:r>
      <w:r w:rsidR="0052482C" w:rsidRPr="00450B78">
        <w:rPr>
          <w:rFonts w:ascii="Times New Roman" w:hAnsi="Times New Roman"/>
          <w:sz w:val="24"/>
          <w:szCs w:val="24"/>
        </w:rPr>
        <w:t xml:space="preserve">Wilcox, Jarrod W. 1973. A Prediction of Business Failure Using Accounting Data. </w:t>
      </w:r>
      <w:r w:rsidR="0052482C" w:rsidRPr="00450B78">
        <w:rPr>
          <w:rFonts w:ascii="Times New Roman" w:hAnsi="Times New Roman"/>
          <w:i/>
          <w:sz w:val="24"/>
          <w:szCs w:val="24"/>
        </w:rPr>
        <w:t>Journal of Accounting Research</w:t>
      </w:r>
      <w:r w:rsidR="0052482C" w:rsidRPr="00450B78">
        <w:rPr>
          <w:rFonts w:ascii="Times New Roman" w:hAnsi="Times New Roman"/>
          <w:sz w:val="24"/>
          <w:szCs w:val="24"/>
        </w:rPr>
        <w:t xml:space="preserve"> 11: 163-79.</w:t>
      </w:r>
    </w:p>
    <w:p w:rsidR="0052482C" w:rsidRPr="00450B78" w:rsidRDefault="0067531C" w:rsidP="001773B4">
      <w:pPr>
        <w:pStyle w:val="NoSpacing"/>
        <w:rPr>
          <w:rFonts w:ascii="Times New Roman" w:hAnsi="Times New Roman"/>
          <w:sz w:val="24"/>
          <w:szCs w:val="24"/>
        </w:rPr>
      </w:pPr>
      <w:r>
        <w:rPr>
          <w:rFonts w:ascii="Times New Roman" w:hAnsi="Times New Roman"/>
          <w:sz w:val="24"/>
          <w:szCs w:val="24"/>
        </w:rPr>
        <w:t xml:space="preserve">[16] </w:t>
      </w:r>
      <w:r w:rsidR="0052482C" w:rsidRPr="00450B78">
        <w:rPr>
          <w:rFonts w:ascii="Times New Roman" w:hAnsi="Times New Roman"/>
          <w:sz w:val="24"/>
          <w:szCs w:val="24"/>
        </w:rPr>
        <w:t xml:space="preserve">Zavgren, C. 1983. The Prediction of Corporate Failure: The State of the Art. </w:t>
      </w:r>
      <w:r w:rsidR="0052482C" w:rsidRPr="00450B78">
        <w:rPr>
          <w:rFonts w:ascii="Times New Roman" w:hAnsi="Times New Roman"/>
          <w:i/>
          <w:sz w:val="24"/>
          <w:szCs w:val="24"/>
        </w:rPr>
        <w:t>Journal of Accounting Literature</w:t>
      </w:r>
      <w:r w:rsidR="0052482C" w:rsidRPr="00450B78">
        <w:rPr>
          <w:rFonts w:ascii="Times New Roman" w:hAnsi="Times New Roman"/>
          <w:sz w:val="24"/>
          <w:szCs w:val="24"/>
        </w:rPr>
        <w:t xml:space="preserve"> 2: 1-38.</w:t>
      </w:r>
    </w:p>
    <w:sectPr w:rsidR="0052482C" w:rsidRPr="00450B78" w:rsidSect="0089395E">
      <w:headerReference w:type="default" r:id="rId13"/>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9C9" w:rsidRDefault="00D529C9" w:rsidP="00B06775">
      <w:r>
        <w:separator/>
      </w:r>
    </w:p>
  </w:endnote>
  <w:endnote w:type="continuationSeparator" w:id="1">
    <w:p w:rsidR="00D529C9" w:rsidRDefault="00D529C9" w:rsidP="00B06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vTT5843c571">
    <w:panose1 w:val="00000000000000000000"/>
    <w:charset w:val="00"/>
    <w:family w:val="roman"/>
    <w:notTrueType/>
    <w:pitch w:val="default"/>
    <w:sig w:usb0="00000003" w:usb1="00000000" w:usb2="00000000" w:usb3="00000000" w:csb0="00000001" w:csb1="00000000"/>
  </w:font>
  <w:font w:name="AdvTTf90d833a.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9C9" w:rsidRDefault="00D529C9" w:rsidP="00B06775">
      <w:r>
        <w:separator/>
      </w:r>
    </w:p>
  </w:footnote>
  <w:footnote w:type="continuationSeparator" w:id="1">
    <w:p w:rsidR="00D529C9" w:rsidRDefault="00D529C9" w:rsidP="00B06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C9" w:rsidRDefault="00D529C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64A81"/>
    <w:multiLevelType w:val="hybridMultilevel"/>
    <w:tmpl w:val="58A069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97971"/>
    <w:rsid w:val="00000150"/>
    <w:rsid w:val="00001220"/>
    <w:rsid w:val="00012D6F"/>
    <w:rsid w:val="00026062"/>
    <w:rsid w:val="00034A62"/>
    <w:rsid w:val="000434B9"/>
    <w:rsid w:val="000446B6"/>
    <w:rsid w:val="000638EA"/>
    <w:rsid w:val="000704B1"/>
    <w:rsid w:val="00072569"/>
    <w:rsid w:val="00077A33"/>
    <w:rsid w:val="00085C05"/>
    <w:rsid w:val="00090EFF"/>
    <w:rsid w:val="000923C2"/>
    <w:rsid w:val="0009637E"/>
    <w:rsid w:val="000C6E5B"/>
    <w:rsid w:val="000D7CEF"/>
    <w:rsid w:val="000E1050"/>
    <w:rsid w:val="000E620C"/>
    <w:rsid w:val="000F0A1C"/>
    <w:rsid w:val="000F1C10"/>
    <w:rsid w:val="000F1C5C"/>
    <w:rsid w:val="00110258"/>
    <w:rsid w:val="001139C9"/>
    <w:rsid w:val="00124D1F"/>
    <w:rsid w:val="001337C5"/>
    <w:rsid w:val="00140338"/>
    <w:rsid w:val="00146F7B"/>
    <w:rsid w:val="00151898"/>
    <w:rsid w:val="00155403"/>
    <w:rsid w:val="001667FF"/>
    <w:rsid w:val="001752CA"/>
    <w:rsid w:val="001773B4"/>
    <w:rsid w:val="00180262"/>
    <w:rsid w:val="00186D47"/>
    <w:rsid w:val="00187B42"/>
    <w:rsid w:val="001953B2"/>
    <w:rsid w:val="001C479F"/>
    <w:rsid w:val="001C4AA3"/>
    <w:rsid w:val="00202049"/>
    <w:rsid w:val="002027EB"/>
    <w:rsid w:val="00202B36"/>
    <w:rsid w:val="0021056C"/>
    <w:rsid w:val="002260DA"/>
    <w:rsid w:val="002309B5"/>
    <w:rsid w:val="0023134F"/>
    <w:rsid w:val="00244F88"/>
    <w:rsid w:val="00245267"/>
    <w:rsid w:val="00252FE5"/>
    <w:rsid w:val="00256CCF"/>
    <w:rsid w:val="002635B6"/>
    <w:rsid w:val="002734FF"/>
    <w:rsid w:val="002746D1"/>
    <w:rsid w:val="00274F47"/>
    <w:rsid w:val="00280BB3"/>
    <w:rsid w:val="002811E4"/>
    <w:rsid w:val="00282339"/>
    <w:rsid w:val="002855F6"/>
    <w:rsid w:val="002871BF"/>
    <w:rsid w:val="002A5B48"/>
    <w:rsid w:val="002B0891"/>
    <w:rsid w:val="002B5543"/>
    <w:rsid w:val="002C5577"/>
    <w:rsid w:val="002D0757"/>
    <w:rsid w:val="002D11D1"/>
    <w:rsid w:val="002D4ECA"/>
    <w:rsid w:val="002D664E"/>
    <w:rsid w:val="002E677E"/>
    <w:rsid w:val="002F1E7C"/>
    <w:rsid w:val="002F47F6"/>
    <w:rsid w:val="002F4C5C"/>
    <w:rsid w:val="00310B0E"/>
    <w:rsid w:val="00314A6D"/>
    <w:rsid w:val="0033380F"/>
    <w:rsid w:val="003368F4"/>
    <w:rsid w:val="003568B9"/>
    <w:rsid w:val="00361DCF"/>
    <w:rsid w:val="00374088"/>
    <w:rsid w:val="003902BA"/>
    <w:rsid w:val="003956C2"/>
    <w:rsid w:val="003A1358"/>
    <w:rsid w:val="003A248B"/>
    <w:rsid w:val="003A7FE8"/>
    <w:rsid w:val="003B46DE"/>
    <w:rsid w:val="003C6E55"/>
    <w:rsid w:val="003D23D0"/>
    <w:rsid w:val="003F1FCF"/>
    <w:rsid w:val="003F31A5"/>
    <w:rsid w:val="003F5579"/>
    <w:rsid w:val="0040459F"/>
    <w:rsid w:val="004073E8"/>
    <w:rsid w:val="00421BD6"/>
    <w:rsid w:val="00432D0E"/>
    <w:rsid w:val="00435A80"/>
    <w:rsid w:val="0043687F"/>
    <w:rsid w:val="00437458"/>
    <w:rsid w:val="00450B78"/>
    <w:rsid w:val="00470224"/>
    <w:rsid w:val="00485B0A"/>
    <w:rsid w:val="00492642"/>
    <w:rsid w:val="004C1652"/>
    <w:rsid w:val="004D73AE"/>
    <w:rsid w:val="004E6624"/>
    <w:rsid w:val="004F0AD8"/>
    <w:rsid w:val="004F265C"/>
    <w:rsid w:val="004F4BA9"/>
    <w:rsid w:val="00517C21"/>
    <w:rsid w:val="0052482C"/>
    <w:rsid w:val="00551305"/>
    <w:rsid w:val="00560E9F"/>
    <w:rsid w:val="00564A25"/>
    <w:rsid w:val="00566FBD"/>
    <w:rsid w:val="0059212C"/>
    <w:rsid w:val="00595628"/>
    <w:rsid w:val="00596D57"/>
    <w:rsid w:val="005A2B56"/>
    <w:rsid w:val="005A6964"/>
    <w:rsid w:val="005A74FD"/>
    <w:rsid w:val="005B1E67"/>
    <w:rsid w:val="005B22D0"/>
    <w:rsid w:val="005B3935"/>
    <w:rsid w:val="005B41A4"/>
    <w:rsid w:val="005D1AA9"/>
    <w:rsid w:val="005D4249"/>
    <w:rsid w:val="005D5AA5"/>
    <w:rsid w:val="005E03F1"/>
    <w:rsid w:val="005E275A"/>
    <w:rsid w:val="005F26C9"/>
    <w:rsid w:val="00612F41"/>
    <w:rsid w:val="006134C9"/>
    <w:rsid w:val="006151AA"/>
    <w:rsid w:val="00623422"/>
    <w:rsid w:val="00634797"/>
    <w:rsid w:val="006507B7"/>
    <w:rsid w:val="0067531C"/>
    <w:rsid w:val="00675765"/>
    <w:rsid w:val="006813A2"/>
    <w:rsid w:val="00682254"/>
    <w:rsid w:val="0068285D"/>
    <w:rsid w:val="00693689"/>
    <w:rsid w:val="006A1833"/>
    <w:rsid w:val="006A2895"/>
    <w:rsid w:val="006A4168"/>
    <w:rsid w:val="006A7086"/>
    <w:rsid w:val="006B698C"/>
    <w:rsid w:val="006C1610"/>
    <w:rsid w:val="006C3D3C"/>
    <w:rsid w:val="006C6AD8"/>
    <w:rsid w:val="006D2E6F"/>
    <w:rsid w:val="006E4E48"/>
    <w:rsid w:val="006F12C3"/>
    <w:rsid w:val="006F16AC"/>
    <w:rsid w:val="006F2E78"/>
    <w:rsid w:val="006F7919"/>
    <w:rsid w:val="00720F7B"/>
    <w:rsid w:val="007310C6"/>
    <w:rsid w:val="00734139"/>
    <w:rsid w:val="007479C5"/>
    <w:rsid w:val="00752E90"/>
    <w:rsid w:val="00755D0F"/>
    <w:rsid w:val="00765ADD"/>
    <w:rsid w:val="00766108"/>
    <w:rsid w:val="0077039B"/>
    <w:rsid w:val="007935CB"/>
    <w:rsid w:val="00796F85"/>
    <w:rsid w:val="007B6B0D"/>
    <w:rsid w:val="007C4955"/>
    <w:rsid w:val="007E135A"/>
    <w:rsid w:val="007F18B9"/>
    <w:rsid w:val="007F539B"/>
    <w:rsid w:val="00806293"/>
    <w:rsid w:val="00826403"/>
    <w:rsid w:val="008340E9"/>
    <w:rsid w:val="008449EA"/>
    <w:rsid w:val="008828A9"/>
    <w:rsid w:val="00884CA1"/>
    <w:rsid w:val="00885553"/>
    <w:rsid w:val="00893121"/>
    <w:rsid w:val="0089395E"/>
    <w:rsid w:val="008965F3"/>
    <w:rsid w:val="008A4D38"/>
    <w:rsid w:val="008B0FB0"/>
    <w:rsid w:val="008B3F6D"/>
    <w:rsid w:val="008C3476"/>
    <w:rsid w:val="008C6B5F"/>
    <w:rsid w:val="008D5CA7"/>
    <w:rsid w:val="008F2EE6"/>
    <w:rsid w:val="0091181E"/>
    <w:rsid w:val="00920881"/>
    <w:rsid w:val="00923436"/>
    <w:rsid w:val="00934854"/>
    <w:rsid w:val="009356E8"/>
    <w:rsid w:val="00942CE5"/>
    <w:rsid w:val="00943556"/>
    <w:rsid w:val="0095617A"/>
    <w:rsid w:val="00961FD6"/>
    <w:rsid w:val="00970A40"/>
    <w:rsid w:val="00970D19"/>
    <w:rsid w:val="00972236"/>
    <w:rsid w:val="00972A60"/>
    <w:rsid w:val="0098157B"/>
    <w:rsid w:val="0099223D"/>
    <w:rsid w:val="009A3091"/>
    <w:rsid w:val="009A721A"/>
    <w:rsid w:val="009C131B"/>
    <w:rsid w:val="009C1967"/>
    <w:rsid w:val="009C3737"/>
    <w:rsid w:val="009D4C2A"/>
    <w:rsid w:val="009E0FEC"/>
    <w:rsid w:val="009E1849"/>
    <w:rsid w:val="009F381A"/>
    <w:rsid w:val="009F72DC"/>
    <w:rsid w:val="00A12400"/>
    <w:rsid w:val="00A33A86"/>
    <w:rsid w:val="00A456F7"/>
    <w:rsid w:val="00A470B4"/>
    <w:rsid w:val="00A57E61"/>
    <w:rsid w:val="00A63671"/>
    <w:rsid w:val="00A733B9"/>
    <w:rsid w:val="00A77B4E"/>
    <w:rsid w:val="00A924B8"/>
    <w:rsid w:val="00A929AF"/>
    <w:rsid w:val="00A93D17"/>
    <w:rsid w:val="00A97971"/>
    <w:rsid w:val="00AA04AC"/>
    <w:rsid w:val="00AB3073"/>
    <w:rsid w:val="00AB734A"/>
    <w:rsid w:val="00AE6101"/>
    <w:rsid w:val="00AF0150"/>
    <w:rsid w:val="00AF47A8"/>
    <w:rsid w:val="00B03520"/>
    <w:rsid w:val="00B06775"/>
    <w:rsid w:val="00B63B18"/>
    <w:rsid w:val="00B63F09"/>
    <w:rsid w:val="00B64C83"/>
    <w:rsid w:val="00B74F41"/>
    <w:rsid w:val="00BC49C1"/>
    <w:rsid w:val="00BD005E"/>
    <w:rsid w:val="00BE7E0B"/>
    <w:rsid w:val="00C15AD6"/>
    <w:rsid w:val="00C169EE"/>
    <w:rsid w:val="00C21781"/>
    <w:rsid w:val="00C33F91"/>
    <w:rsid w:val="00C41A68"/>
    <w:rsid w:val="00C546B0"/>
    <w:rsid w:val="00C577DE"/>
    <w:rsid w:val="00C57A21"/>
    <w:rsid w:val="00C60A94"/>
    <w:rsid w:val="00C632A7"/>
    <w:rsid w:val="00C737AB"/>
    <w:rsid w:val="00C77601"/>
    <w:rsid w:val="00C81496"/>
    <w:rsid w:val="00C86D14"/>
    <w:rsid w:val="00CB494E"/>
    <w:rsid w:val="00CB618D"/>
    <w:rsid w:val="00CC448D"/>
    <w:rsid w:val="00CC6F55"/>
    <w:rsid w:val="00CE3A1D"/>
    <w:rsid w:val="00CE5F00"/>
    <w:rsid w:val="00D04F2E"/>
    <w:rsid w:val="00D05E10"/>
    <w:rsid w:val="00D204EA"/>
    <w:rsid w:val="00D218CE"/>
    <w:rsid w:val="00D2482B"/>
    <w:rsid w:val="00D2686C"/>
    <w:rsid w:val="00D30F3F"/>
    <w:rsid w:val="00D370B1"/>
    <w:rsid w:val="00D45066"/>
    <w:rsid w:val="00D529C9"/>
    <w:rsid w:val="00D71E47"/>
    <w:rsid w:val="00D76043"/>
    <w:rsid w:val="00D87DDF"/>
    <w:rsid w:val="00D9257B"/>
    <w:rsid w:val="00DA1144"/>
    <w:rsid w:val="00DA3C38"/>
    <w:rsid w:val="00DA494E"/>
    <w:rsid w:val="00DA7813"/>
    <w:rsid w:val="00DC23E2"/>
    <w:rsid w:val="00DC3EDF"/>
    <w:rsid w:val="00DC5D17"/>
    <w:rsid w:val="00DD071A"/>
    <w:rsid w:val="00DD5A26"/>
    <w:rsid w:val="00DF09C6"/>
    <w:rsid w:val="00DF6924"/>
    <w:rsid w:val="00E003A0"/>
    <w:rsid w:val="00E01B7F"/>
    <w:rsid w:val="00E02C8A"/>
    <w:rsid w:val="00E124B5"/>
    <w:rsid w:val="00E31F31"/>
    <w:rsid w:val="00E320D1"/>
    <w:rsid w:val="00E402C3"/>
    <w:rsid w:val="00E435B0"/>
    <w:rsid w:val="00E509CD"/>
    <w:rsid w:val="00E62E27"/>
    <w:rsid w:val="00E71060"/>
    <w:rsid w:val="00E74184"/>
    <w:rsid w:val="00E767A0"/>
    <w:rsid w:val="00E97B23"/>
    <w:rsid w:val="00EA004E"/>
    <w:rsid w:val="00EA0C8D"/>
    <w:rsid w:val="00EB03FA"/>
    <w:rsid w:val="00EB4E2B"/>
    <w:rsid w:val="00EC1863"/>
    <w:rsid w:val="00EC1EBF"/>
    <w:rsid w:val="00ED1EC8"/>
    <w:rsid w:val="00EE548E"/>
    <w:rsid w:val="00EE7BA6"/>
    <w:rsid w:val="00F00868"/>
    <w:rsid w:val="00F1114B"/>
    <w:rsid w:val="00F1300C"/>
    <w:rsid w:val="00F20C90"/>
    <w:rsid w:val="00F21FAE"/>
    <w:rsid w:val="00F2785D"/>
    <w:rsid w:val="00F356DB"/>
    <w:rsid w:val="00F42905"/>
    <w:rsid w:val="00F46B8F"/>
    <w:rsid w:val="00F650F3"/>
    <w:rsid w:val="00F773E9"/>
    <w:rsid w:val="00F85C15"/>
    <w:rsid w:val="00F92710"/>
    <w:rsid w:val="00FA7C2A"/>
    <w:rsid w:val="00FC08B2"/>
    <w:rsid w:val="00FC439B"/>
    <w:rsid w:val="00FE09D8"/>
    <w:rsid w:val="00FE29BD"/>
    <w:rsid w:val="00FE6705"/>
    <w:rsid w:val="00FF4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2C3"/>
    <w:rPr>
      <w:sz w:val="24"/>
      <w:szCs w:val="24"/>
    </w:rPr>
  </w:style>
  <w:style w:type="paragraph" w:styleId="Heading2">
    <w:name w:val="heading 2"/>
    <w:basedOn w:val="Normal"/>
    <w:qFormat/>
    <w:rsid w:val="00E710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97971"/>
    <w:pPr>
      <w:spacing w:before="100" w:beforeAutospacing="1" w:after="100" w:afterAutospacing="1"/>
    </w:pPr>
  </w:style>
  <w:style w:type="character" w:customStyle="1" w:styleId="scaps">
    <w:name w:val="scaps"/>
    <w:basedOn w:val="DefaultParagraphFont"/>
    <w:rsid w:val="00E71060"/>
  </w:style>
  <w:style w:type="character" w:styleId="Emphasis">
    <w:name w:val="Emphasis"/>
    <w:basedOn w:val="DefaultParagraphFont"/>
    <w:qFormat/>
    <w:rsid w:val="00E71060"/>
    <w:rPr>
      <w:i/>
      <w:iCs/>
    </w:rPr>
  </w:style>
  <w:style w:type="paragraph" w:styleId="FootnoteText">
    <w:name w:val="footnote text"/>
    <w:basedOn w:val="Normal"/>
    <w:link w:val="FootnoteTextChar"/>
    <w:rsid w:val="00B06775"/>
    <w:rPr>
      <w:sz w:val="20"/>
      <w:szCs w:val="20"/>
    </w:rPr>
  </w:style>
  <w:style w:type="character" w:customStyle="1" w:styleId="FootnoteTextChar">
    <w:name w:val="Footnote Text Char"/>
    <w:basedOn w:val="DefaultParagraphFont"/>
    <w:link w:val="FootnoteText"/>
    <w:rsid w:val="00B06775"/>
  </w:style>
  <w:style w:type="character" w:styleId="FootnoteReference">
    <w:name w:val="footnote reference"/>
    <w:basedOn w:val="DefaultParagraphFont"/>
    <w:rsid w:val="00B06775"/>
    <w:rPr>
      <w:vertAlign w:val="superscript"/>
    </w:rPr>
  </w:style>
  <w:style w:type="character" w:styleId="Hyperlink">
    <w:name w:val="Hyperlink"/>
    <w:basedOn w:val="DefaultParagraphFont"/>
    <w:rsid w:val="00634797"/>
    <w:rPr>
      <w:color w:val="0000FF"/>
      <w:u w:val="single"/>
    </w:rPr>
  </w:style>
  <w:style w:type="table" w:styleId="TableGrid">
    <w:name w:val="Table Grid"/>
    <w:basedOn w:val="TableNormal"/>
    <w:rsid w:val="00D30F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6F7B"/>
    <w:pPr>
      <w:tabs>
        <w:tab w:val="center" w:pos="4680"/>
        <w:tab w:val="right" w:pos="9360"/>
      </w:tabs>
    </w:pPr>
  </w:style>
  <w:style w:type="character" w:customStyle="1" w:styleId="HeaderChar">
    <w:name w:val="Header Char"/>
    <w:basedOn w:val="DefaultParagraphFont"/>
    <w:link w:val="Header"/>
    <w:rsid w:val="00146F7B"/>
    <w:rPr>
      <w:sz w:val="24"/>
      <w:szCs w:val="24"/>
    </w:rPr>
  </w:style>
  <w:style w:type="paragraph" w:styleId="Footer">
    <w:name w:val="footer"/>
    <w:basedOn w:val="Normal"/>
    <w:link w:val="FooterChar"/>
    <w:rsid w:val="00146F7B"/>
    <w:pPr>
      <w:tabs>
        <w:tab w:val="center" w:pos="4680"/>
        <w:tab w:val="right" w:pos="9360"/>
      </w:tabs>
    </w:pPr>
  </w:style>
  <w:style w:type="character" w:customStyle="1" w:styleId="FooterChar">
    <w:name w:val="Footer Char"/>
    <w:basedOn w:val="DefaultParagraphFont"/>
    <w:link w:val="Footer"/>
    <w:rsid w:val="00146F7B"/>
    <w:rPr>
      <w:sz w:val="24"/>
      <w:szCs w:val="24"/>
    </w:rPr>
  </w:style>
  <w:style w:type="paragraph" w:styleId="NoSpacing">
    <w:name w:val="No Spacing"/>
    <w:uiPriority w:val="1"/>
    <w:qFormat/>
    <w:rsid w:val="00DC5D17"/>
    <w:rPr>
      <w:rFonts w:ascii="Calibri" w:eastAsia="Calibri" w:hAnsi="Calibri"/>
      <w:sz w:val="22"/>
      <w:szCs w:val="22"/>
    </w:rPr>
  </w:style>
  <w:style w:type="character" w:customStyle="1" w:styleId="medium-font1">
    <w:name w:val="medium-font1"/>
    <w:basedOn w:val="DefaultParagraphFont"/>
    <w:rsid w:val="00DC5D17"/>
    <w:rPr>
      <w:sz w:val="19"/>
      <w:szCs w:val="19"/>
    </w:rPr>
  </w:style>
</w:styles>
</file>

<file path=word/webSettings.xml><?xml version="1.0" encoding="utf-8"?>
<w:webSettings xmlns:r="http://schemas.openxmlformats.org/officeDocument/2006/relationships" xmlns:w="http://schemas.openxmlformats.org/wordprocessingml/2006/main">
  <w:divs>
    <w:div w:id="172258645">
      <w:bodyDiv w:val="1"/>
      <w:marLeft w:val="0"/>
      <w:marRight w:val="0"/>
      <w:marTop w:val="0"/>
      <w:marBottom w:val="0"/>
      <w:divBdr>
        <w:top w:val="none" w:sz="0" w:space="0" w:color="auto"/>
        <w:left w:val="none" w:sz="0" w:space="0" w:color="auto"/>
        <w:bottom w:val="none" w:sz="0" w:space="0" w:color="auto"/>
        <w:right w:val="none" w:sz="0" w:space="0" w:color="auto"/>
      </w:divBdr>
      <w:divsChild>
        <w:div w:id="1210071775">
          <w:marLeft w:val="0"/>
          <w:marRight w:val="0"/>
          <w:marTop w:val="0"/>
          <w:marBottom w:val="0"/>
          <w:divBdr>
            <w:top w:val="none" w:sz="0" w:space="0" w:color="auto"/>
            <w:left w:val="single" w:sz="6" w:space="0" w:color="FFFFFF"/>
            <w:bottom w:val="none" w:sz="0" w:space="0" w:color="auto"/>
            <w:right w:val="none" w:sz="0" w:space="0" w:color="auto"/>
          </w:divBdr>
          <w:divsChild>
            <w:div w:id="1057044432">
              <w:marLeft w:val="0"/>
              <w:marRight w:val="0"/>
              <w:marTop w:val="0"/>
              <w:marBottom w:val="0"/>
              <w:divBdr>
                <w:top w:val="none" w:sz="0" w:space="0" w:color="auto"/>
                <w:left w:val="none" w:sz="0" w:space="0" w:color="auto"/>
                <w:bottom w:val="none" w:sz="0" w:space="0" w:color="auto"/>
                <w:right w:val="single" w:sz="6" w:space="0" w:color="FFFFFF"/>
              </w:divBdr>
              <w:divsChild>
                <w:div w:id="1460878375">
                  <w:marLeft w:val="0"/>
                  <w:marRight w:val="0"/>
                  <w:marTop w:val="0"/>
                  <w:marBottom w:val="0"/>
                  <w:divBdr>
                    <w:top w:val="none" w:sz="0" w:space="0" w:color="auto"/>
                    <w:left w:val="none" w:sz="0" w:space="0" w:color="auto"/>
                    <w:bottom w:val="none" w:sz="0" w:space="0" w:color="auto"/>
                    <w:right w:val="none" w:sz="0" w:space="0" w:color="auto"/>
                  </w:divBdr>
                  <w:divsChild>
                    <w:div w:id="5087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96047">
      <w:bodyDiv w:val="1"/>
      <w:marLeft w:val="0"/>
      <w:marRight w:val="0"/>
      <w:marTop w:val="0"/>
      <w:marBottom w:val="0"/>
      <w:divBdr>
        <w:top w:val="none" w:sz="0" w:space="0" w:color="auto"/>
        <w:left w:val="none" w:sz="0" w:space="0" w:color="auto"/>
        <w:bottom w:val="none" w:sz="0" w:space="0" w:color="auto"/>
        <w:right w:val="none" w:sz="0" w:space="0" w:color="auto"/>
      </w:divBdr>
      <w:divsChild>
        <w:div w:id="1592203273">
          <w:marLeft w:val="0"/>
          <w:marRight w:val="0"/>
          <w:marTop w:val="0"/>
          <w:marBottom w:val="0"/>
          <w:divBdr>
            <w:top w:val="none" w:sz="0" w:space="0" w:color="auto"/>
            <w:left w:val="single" w:sz="6" w:space="0" w:color="FFFFFF"/>
            <w:bottom w:val="none" w:sz="0" w:space="0" w:color="auto"/>
            <w:right w:val="none" w:sz="0" w:space="0" w:color="auto"/>
          </w:divBdr>
          <w:divsChild>
            <w:div w:id="275144186">
              <w:marLeft w:val="0"/>
              <w:marRight w:val="0"/>
              <w:marTop w:val="0"/>
              <w:marBottom w:val="0"/>
              <w:divBdr>
                <w:top w:val="none" w:sz="0" w:space="0" w:color="auto"/>
                <w:left w:val="none" w:sz="0" w:space="0" w:color="auto"/>
                <w:bottom w:val="none" w:sz="0" w:space="0" w:color="auto"/>
                <w:right w:val="single" w:sz="6" w:space="0" w:color="FFFFFF"/>
              </w:divBdr>
              <w:divsChild>
                <w:div w:id="1569418054">
                  <w:marLeft w:val="0"/>
                  <w:marRight w:val="0"/>
                  <w:marTop w:val="0"/>
                  <w:marBottom w:val="0"/>
                  <w:divBdr>
                    <w:top w:val="none" w:sz="0" w:space="0" w:color="auto"/>
                    <w:left w:val="none" w:sz="0" w:space="0" w:color="auto"/>
                    <w:bottom w:val="none" w:sz="0" w:space="0" w:color="auto"/>
                    <w:right w:val="none" w:sz="0" w:space="0" w:color="auto"/>
                  </w:divBdr>
                  <w:divsChild>
                    <w:div w:id="1253316105">
                      <w:marLeft w:val="0"/>
                      <w:marRight w:val="0"/>
                      <w:marTop w:val="0"/>
                      <w:marBottom w:val="0"/>
                      <w:divBdr>
                        <w:top w:val="none" w:sz="0" w:space="0" w:color="auto"/>
                        <w:left w:val="none" w:sz="0" w:space="0" w:color="auto"/>
                        <w:bottom w:val="none" w:sz="0" w:space="0" w:color="auto"/>
                        <w:right w:val="none" w:sz="0" w:space="0" w:color="auto"/>
                      </w:divBdr>
                      <w:divsChild>
                        <w:div w:id="436295575">
                          <w:marLeft w:val="0"/>
                          <w:marRight w:val="0"/>
                          <w:marTop w:val="0"/>
                          <w:marBottom w:val="0"/>
                          <w:divBdr>
                            <w:top w:val="none" w:sz="0" w:space="0" w:color="auto"/>
                            <w:left w:val="none" w:sz="0" w:space="0" w:color="auto"/>
                            <w:bottom w:val="none" w:sz="0" w:space="0" w:color="auto"/>
                            <w:right w:val="none" w:sz="0" w:space="0" w:color="auto"/>
                          </w:divBdr>
                        </w:div>
                        <w:div w:id="977881205">
                          <w:marLeft w:val="0"/>
                          <w:marRight w:val="0"/>
                          <w:marTop w:val="0"/>
                          <w:marBottom w:val="0"/>
                          <w:divBdr>
                            <w:top w:val="none" w:sz="0" w:space="0" w:color="auto"/>
                            <w:left w:val="none" w:sz="0" w:space="0" w:color="auto"/>
                            <w:bottom w:val="none" w:sz="0" w:space="0" w:color="auto"/>
                            <w:right w:val="none" w:sz="0" w:space="0" w:color="auto"/>
                          </w:divBdr>
                        </w:div>
                        <w:div w:id="1165196690">
                          <w:marLeft w:val="0"/>
                          <w:marRight w:val="0"/>
                          <w:marTop w:val="0"/>
                          <w:marBottom w:val="0"/>
                          <w:divBdr>
                            <w:top w:val="none" w:sz="0" w:space="0" w:color="auto"/>
                            <w:left w:val="none" w:sz="0" w:space="0" w:color="auto"/>
                            <w:bottom w:val="none" w:sz="0" w:space="0" w:color="auto"/>
                            <w:right w:val="none" w:sz="0" w:space="0" w:color="auto"/>
                          </w:divBdr>
                        </w:div>
                        <w:div w:id="1626351050">
                          <w:marLeft w:val="0"/>
                          <w:marRight w:val="0"/>
                          <w:marTop w:val="0"/>
                          <w:marBottom w:val="0"/>
                          <w:divBdr>
                            <w:top w:val="none" w:sz="0" w:space="0" w:color="auto"/>
                            <w:left w:val="none" w:sz="0" w:space="0" w:color="auto"/>
                            <w:bottom w:val="none" w:sz="0" w:space="0" w:color="auto"/>
                            <w:right w:val="none" w:sz="0" w:space="0" w:color="auto"/>
                          </w:divBdr>
                        </w:div>
                        <w:div w:id="20102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45269">
      <w:bodyDiv w:val="1"/>
      <w:marLeft w:val="0"/>
      <w:marRight w:val="0"/>
      <w:marTop w:val="0"/>
      <w:marBottom w:val="0"/>
      <w:divBdr>
        <w:top w:val="none" w:sz="0" w:space="0" w:color="auto"/>
        <w:left w:val="none" w:sz="0" w:space="0" w:color="auto"/>
        <w:bottom w:val="none" w:sz="0" w:space="0" w:color="auto"/>
        <w:right w:val="none" w:sz="0" w:space="0" w:color="auto"/>
      </w:divBdr>
      <w:divsChild>
        <w:div w:id="496723970">
          <w:marLeft w:val="0"/>
          <w:marRight w:val="0"/>
          <w:marTop w:val="0"/>
          <w:marBottom w:val="0"/>
          <w:divBdr>
            <w:top w:val="none" w:sz="0" w:space="0" w:color="auto"/>
            <w:left w:val="single" w:sz="6" w:space="0" w:color="FFFFFF"/>
            <w:bottom w:val="none" w:sz="0" w:space="0" w:color="auto"/>
            <w:right w:val="none" w:sz="0" w:space="0" w:color="auto"/>
          </w:divBdr>
          <w:divsChild>
            <w:div w:id="1644843558">
              <w:marLeft w:val="0"/>
              <w:marRight w:val="0"/>
              <w:marTop w:val="0"/>
              <w:marBottom w:val="0"/>
              <w:divBdr>
                <w:top w:val="none" w:sz="0" w:space="0" w:color="auto"/>
                <w:left w:val="none" w:sz="0" w:space="0" w:color="auto"/>
                <w:bottom w:val="none" w:sz="0" w:space="0" w:color="auto"/>
                <w:right w:val="single" w:sz="6" w:space="0" w:color="FFFFFF"/>
              </w:divBdr>
              <w:divsChild>
                <w:div w:id="1948197199">
                  <w:marLeft w:val="0"/>
                  <w:marRight w:val="0"/>
                  <w:marTop w:val="0"/>
                  <w:marBottom w:val="0"/>
                  <w:divBdr>
                    <w:top w:val="none" w:sz="0" w:space="0" w:color="auto"/>
                    <w:left w:val="none" w:sz="0" w:space="0" w:color="auto"/>
                    <w:bottom w:val="none" w:sz="0" w:space="0" w:color="auto"/>
                    <w:right w:val="none" w:sz="0" w:space="0" w:color="auto"/>
                  </w:divBdr>
                  <w:divsChild>
                    <w:div w:id="14332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5097">
      <w:bodyDiv w:val="1"/>
      <w:marLeft w:val="0"/>
      <w:marRight w:val="0"/>
      <w:marTop w:val="0"/>
      <w:marBottom w:val="0"/>
      <w:divBdr>
        <w:top w:val="none" w:sz="0" w:space="0" w:color="auto"/>
        <w:left w:val="none" w:sz="0" w:space="0" w:color="auto"/>
        <w:bottom w:val="none" w:sz="0" w:space="0" w:color="auto"/>
        <w:right w:val="none" w:sz="0" w:space="0" w:color="auto"/>
      </w:divBdr>
      <w:divsChild>
        <w:div w:id="609362114">
          <w:marLeft w:val="0"/>
          <w:marRight w:val="0"/>
          <w:marTop w:val="0"/>
          <w:marBottom w:val="0"/>
          <w:divBdr>
            <w:top w:val="none" w:sz="0" w:space="0" w:color="auto"/>
            <w:left w:val="single" w:sz="6" w:space="0" w:color="FFFFFF"/>
            <w:bottom w:val="none" w:sz="0" w:space="0" w:color="auto"/>
            <w:right w:val="none" w:sz="0" w:space="0" w:color="auto"/>
          </w:divBdr>
          <w:divsChild>
            <w:div w:id="2054115331">
              <w:marLeft w:val="0"/>
              <w:marRight w:val="0"/>
              <w:marTop w:val="0"/>
              <w:marBottom w:val="0"/>
              <w:divBdr>
                <w:top w:val="none" w:sz="0" w:space="0" w:color="auto"/>
                <w:left w:val="none" w:sz="0" w:space="0" w:color="auto"/>
                <w:bottom w:val="none" w:sz="0" w:space="0" w:color="auto"/>
                <w:right w:val="single" w:sz="6" w:space="0" w:color="FFFFFF"/>
              </w:divBdr>
              <w:divsChild>
                <w:div w:id="1241479757">
                  <w:marLeft w:val="0"/>
                  <w:marRight w:val="0"/>
                  <w:marTop w:val="0"/>
                  <w:marBottom w:val="0"/>
                  <w:divBdr>
                    <w:top w:val="none" w:sz="0" w:space="0" w:color="auto"/>
                    <w:left w:val="none" w:sz="0" w:space="0" w:color="auto"/>
                    <w:bottom w:val="none" w:sz="0" w:space="0" w:color="auto"/>
                    <w:right w:val="none" w:sz="0" w:space="0" w:color="auto"/>
                  </w:divBdr>
                  <w:divsChild>
                    <w:div w:id="1866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1847">
      <w:bodyDiv w:val="1"/>
      <w:marLeft w:val="0"/>
      <w:marRight w:val="0"/>
      <w:marTop w:val="0"/>
      <w:marBottom w:val="0"/>
      <w:divBdr>
        <w:top w:val="none" w:sz="0" w:space="0" w:color="auto"/>
        <w:left w:val="none" w:sz="0" w:space="0" w:color="auto"/>
        <w:bottom w:val="none" w:sz="0" w:space="0" w:color="auto"/>
        <w:right w:val="none" w:sz="0" w:space="0" w:color="auto"/>
      </w:divBdr>
      <w:divsChild>
        <w:div w:id="1784227185">
          <w:marLeft w:val="0"/>
          <w:marRight w:val="0"/>
          <w:marTop w:val="0"/>
          <w:marBottom w:val="0"/>
          <w:divBdr>
            <w:top w:val="none" w:sz="0" w:space="0" w:color="auto"/>
            <w:left w:val="single" w:sz="6" w:space="0" w:color="FFFFFF"/>
            <w:bottom w:val="none" w:sz="0" w:space="0" w:color="auto"/>
            <w:right w:val="none" w:sz="0" w:space="0" w:color="auto"/>
          </w:divBdr>
          <w:divsChild>
            <w:div w:id="1575044497">
              <w:marLeft w:val="0"/>
              <w:marRight w:val="0"/>
              <w:marTop w:val="0"/>
              <w:marBottom w:val="0"/>
              <w:divBdr>
                <w:top w:val="none" w:sz="0" w:space="0" w:color="auto"/>
                <w:left w:val="none" w:sz="0" w:space="0" w:color="auto"/>
                <w:bottom w:val="none" w:sz="0" w:space="0" w:color="auto"/>
                <w:right w:val="single" w:sz="6" w:space="0" w:color="FFFFFF"/>
              </w:divBdr>
              <w:divsChild>
                <w:div w:id="327559974">
                  <w:marLeft w:val="0"/>
                  <w:marRight w:val="0"/>
                  <w:marTop w:val="0"/>
                  <w:marBottom w:val="0"/>
                  <w:divBdr>
                    <w:top w:val="none" w:sz="0" w:space="0" w:color="auto"/>
                    <w:left w:val="none" w:sz="0" w:space="0" w:color="auto"/>
                    <w:bottom w:val="none" w:sz="0" w:space="0" w:color="auto"/>
                    <w:right w:val="none" w:sz="0" w:space="0" w:color="auto"/>
                  </w:divBdr>
                  <w:divsChild>
                    <w:div w:id="19424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wang@msubilling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ebscohost.com/bsi/viewarticle?data=dGJyMPPp44rp2%2fdV0%2bnjisfk5Ie44%2b2L8uvsRuvX54as2PGBvq2tSa2orki2lq9IuKm2UrGtnlnLnPKK3%2bTxeeHq54fs3%2bJVq6exUK6mtFCxrbc%2b6tfsf7vb7D7i2Lt6896kjN%2fdu1nMnN%2bGu6yuSbGmr1Ck3O2K69fyVeTr6oTy2%2faM&amp;hid=107" TargetMode="External"/><Relationship Id="rId4" Type="http://schemas.openxmlformats.org/officeDocument/2006/relationships/settings" Target="settings.xml"/><Relationship Id="rId9" Type="http://schemas.openxmlformats.org/officeDocument/2006/relationships/hyperlink" Target="mailto:mcampbell@msubillings.edu"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5E10-D80F-45EA-948E-7E083A3C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1283</Words>
  <Characters>7545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Business failure prediction for publicly listed companies in China</vt:lpstr>
    </vt:vector>
  </TitlesOfParts>
  <Company>Latech</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failure prediction for publicly listed companies in China</dc:title>
  <dc:creator>Ying</dc:creator>
  <cp:lastModifiedBy>Ying Wang</cp:lastModifiedBy>
  <cp:revision>6</cp:revision>
  <cp:lastPrinted>2008-09-26T20:54:00Z</cp:lastPrinted>
  <dcterms:created xsi:type="dcterms:W3CDTF">2008-12-20T22:15:00Z</dcterms:created>
  <dcterms:modified xsi:type="dcterms:W3CDTF">2008-12-20T22:54:00Z</dcterms:modified>
</cp:coreProperties>
</file>