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2C" w:rsidRPr="00FB6C99" w:rsidRDefault="005D1D2C" w:rsidP="00A26DDD">
      <w:pPr>
        <w:pStyle w:val="p3"/>
        <w:tabs>
          <w:tab w:val="clear" w:pos="2936"/>
          <w:tab w:val="left" w:pos="-2700"/>
        </w:tabs>
        <w:spacing w:line="240" w:lineRule="auto"/>
        <w:ind w:left="0" w:hanging="7"/>
        <w:jc w:val="center"/>
        <w:rPr>
          <w:b/>
        </w:rPr>
      </w:pPr>
      <w:r w:rsidRPr="00593DB5">
        <w:rPr>
          <w:b/>
          <w:sz w:val="28"/>
          <w:szCs w:val="28"/>
        </w:rPr>
        <w:t>APPLICATION OF MULTIPLE DISCRIMINANT ANALYSIS (MDA) TO PREDICT UTILITY BOND RATINGS</w:t>
      </w:r>
    </w:p>
    <w:p w:rsidR="00C375F8" w:rsidRDefault="00721FFC" w:rsidP="00801D7C">
      <w:pPr>
        <w:pStyle w:val="p3"/>
        <w:tabs>
          <w:tab w:val="clear" w:pos="2936"/>
          <w:tab w:val="left" w:pos="2880"/>
        </w:tabs>
        <w:spacing w:line="240" w:lineRule="auto"/>
        <w:ind w:left="0" w:hanging="7"/>
        <w:jc w:val="center"/>
        <w:rPr>
          <w:i/>
        </w:rPr>
      </w:pPr>
      <w:r w:rsidRPr="00FB6C99">
        <w:rPr>
          <w:i/>
        </w:rPr>
        <w:t>Steven V. Le</w:t>
      </w:r>
      <w:r w:rsidR="00DB1467" w:rsidRPr="00FB6C99">
        <w:rPr>
          <w:i/>
        </w:rPr>
        <w:t>, College of Business, California State University</w:t>
      </w:r>
      <w:r w:rsidRPr="00FB6C99">
        <w:rPr>
          <w:i/>
        </w:rPr>
        <w:t xml:space="preserve"> Long Beach</w:t>
      </w:r>
      <w:r w:rsidR="005D1D2C" w:rsidRPr="00FB6C99">
        <w:rPr>
          <w:i/>
        </w:rPr>
        <w:t>,</w:t>
      </w:r>
      <w:r w:rsidR="00DB1467" w:rsidRPr="00FB6C99">
        <w:rPr>
          <w:i/>
        </w:rPr>
        <w:t xml:space="preserve"> </w:t>
      </w:r>
      <w:r w:rsidRPr="00FB6C99">
        <w:rPr>
          <w:i/>
        </w:rPr>
        <w:t>1250 Bellflower Blvd.</w:t>
      </w:r>
      <w:r w:rsidR="00DB1467" w:rsidRPr="00FB6C99">
        <w:rPr>
          <w:i/>
        </w:rPr>
        <w:t xml:space="preserve"> </w:t>
      </w:r>
      <w:r w:rsidRPr="00FB6C99">
        <w:rPr>
          <w:i/>
        </w:rPr>
        <w:t>Long Beach, CA 90840</w:t>
      </w:r>
      <w:r w:rsidR="005D1D2C" w:rsidRPr="00FB6C99">
        <w:rPr>
          <w:i/>
        </w:rPr>
        <w:t xml:space="preserve">, </w:t>
      </w:r>
      <w:r w:rsidRPr="00FB6C99">
        <w:rPr>
          <w:i/>
        </w:rPr>
        <w:t>(562) 985-1608 or 4569</w:t>
      </w:r>
      <w:r w:rsidR="00DB1467" w:rsidRPr="00FB6C99">
        <w:rPr>
          <w:i/>
        </w:rPr>
        <w:t>,</w:t>
      </w:r>
      <w:r w:rsidRPr="00FB6C99">
        <w:rPr>
          <w:i/>
        </w:rPr>
        <w:t>svle@usa.net</w:t>
      </w:r>
    </w:p>
    <w:p w:rsidR="00801D7C" w:rsidRDefault="00801D7C" w:rsidP="00801D7C">
      <w:pPr>
        <w:pStyle w:val="p3"/>
        <w:tabs>
          <w:tab w:val="clear" w:pos="2936"/>
          <w:tab w:val="left" w:pos="2880"/>
        </w:tabs>
        <w:spacing w:line="240" w:lineRule="auto"/>
        <w:ind w:left="0" w:hanging="7"/>
        <w:jc w:val="center"/>
        <w:rPr>
          <w:i/>
        </w:rPr>
      </w:pPr>
    </w:p>
    <w:p w:rsidR="00A75805" w:rsidRDefault="004F0765" w:rsidP="0056025A">
      <w:pPr>
        <w:widowControl/>
        <w:autoSpaceDE/>
        <w:autoSpaceDN/>
        <w:adjustRightInd/>
        <w:jc w:val="center"/>
        <w:rPr>
          <w:b/>
          <w:bCs/>
          <w:iCs/>
        </w:rPr>
      </w:pPr>
      <w:r w:rsidRPr="00FB6C99">
        <w:rPr>
          <w:b/>
          <w:bCs/>
          <w:iCs/>
        </w:rPr>
        <w:t>ABSTRACT</w:t>
      </w:r>
    </w:p>
    <w:p w:rsidR="00801D7C" w:rsidRDefault="00801D7C" w:rsidP="00801D7C">
      <w:pPr>
        <w:widowControl/>
        <w:autoSpaceDE/>
        <w:autoSpaceDN/>
        <w:adjustRightInd/>
        <w:jc w:val="center"/>
      </w:pPr>
    </w:p>
    <w:p w:rsidR="00801D7C" w:rsidRDefault="00C375F8" w:rsidP="00801D7C">
      <w:pPr>
        <w:tabs>
          <w:tab w:val="left" w:pos="776"/>
        </w:tabs>
        <w:ind w:right="-86"/>
        <w:jc w:val="both"/>
      </w:pPr>
      <w:r w:rsidRPr="00C375F8">
        <w:t xml:space="preserve">Financial ratio analysis is a useful but limited tool in analyzing the performance of a business. A major limiting characteristic is the </w:t>
      </w:r>
      <w:proofErr w:type="spellStart"/>
      <w:r w:rsidRPr="00C375F8">
        <w:t>univariate</w:t>
      </w:r>
      <w:proofErr w:type="spellEnd"/>
      <w:r w:rsidRPr="00C375F8">
        <w:t xml:space="preserve"> nature of the technique. To overcome this limitation, analysts have used multiple </w:t>
      </w:r>
      <w:proofErr w:type="spellStart"/>
      <w:r w:rsidRPr="00C375F8">
        <w:t>discriminant</w:t>
      </w:r>
      <w:proofErr w:type="spellEnd"/>
      <w:r w:rsidRPr="00C375F8">
        <w:t xml:space="preserve"> analysis to develop multivariate predictive models. </w:t>
      </w:r>
      <w:r w:rsidR="0056025A" w:rsidRPr="00FB6C99">
        <w:t xml:space="preserve">The purpose of this paper is to extend the multiple </w:t>
      </w:r>
      <w:proofErr w:type="spellStart"/>
      <w:r w:rsidR="0056025A" w:rsidRPr="00FB6C99">
        <w:t>discriminant</w:t>
      </w:r>
      <w:proofErr w:type="spellEnd"/>
      <w:r w:rsidR="0056025A" w:rsidRPr="00FB6C99">
        <w:t xml:space="preserve"> technique to predict bond ratings.</w:t>
      </w:r>
    </w:p>
    <w:p w:rsidR="00C375F8" w:rsidRPr="00C375F8" w:rsidRDefault="00C375F8" w:rsidP="00C375F8">
      <w:pPr>
        <w:tabs>
          <w:tab w:val="left" w:pos="776"/>
        </w:tabs>
        <w:ind w:right="-90"/>
        <w:jc w:val="both"/>
      </w:pPr>
      <w:r w:rsidRPr="00C375F8">
        <w:t xml:space="preserve"> </w:t>
      </w:r>
    </w:p>
    <w:p w:rsidR="00001B5B" w:rsidRDefault="004C2026" w:rsidP="00B23981">
      <w:pPr>
        <w:tabs>
          <w:tab w:val="left" w:pos="776"/>
        </w:tabs>
        <w:ind w:right="-90"/>
        <w:jc w:val="center"/>
        <w:rPr>
          <w:b/>
        </w:rPr>
      </w:pPr>
      <w:r w:rsidRPr="00FB6C99">
        <w:rPr>
          <w:b/>
        </w:rPr>
        <w:t>INTRODUCTION</w:t>
      </w:r>
    </w:p>
    <w:p w:rsidR="00B23981" w:rsidRPr="00FB6C99" w:rsidRDefault="00B23981" w:rsidP="00B23981">
      <w:pPr>
        <w:tabs>
          <w:tab w:val="left" w:pos="776"/>
        </w:tabs>
        <w:ind w:right="-90"/>
        <w:jc w:val="center"/>
      </w:pPr>
    </w:p>
    <w:p w:rsidR="00E15FE3" w:rsidRDefault="0056025A" w:rsidP="00E15FE3">
      <w:pPr>
        <w:tabs>
          <w:tab w:val="left" w:pos="776"/>
        </w:tabs>
        <w:ind w:right="-90"/>
        <w:jc w:val="both"/>
      </w:pPr>
      <w:r w:rsidRPr="0056025A">
        <w:t>This study is analogous to Altman's bankruptcy case.</w:t>
      </w:r>
      <w:r w:rsidRPr="008C355B">
        <w:rPr>
          <w:sz w:val="20"/>
          <w:szCs w:val="20"/>
        </w:rPr>
        <w:t xml:space="preserve"> </w:t>
      </w:r>
      <w:r w:rsidR="008C355B" w:rsidRPr="00FB6C99">
        <w:t xml:space="preserve">All members of the sample are members of one of two a priori groups and a linear equation can be developed to classify each member into its proper group. </w:t>
      </w:r>
      <w:r w:rsidRPr="0056025A">
        <w:t xml:space="preserve">In the bond rating case, the sample would consist of utilities having one of two adjacent bond </w:t>
      </w:r>
      <w:proofErr w:type="gramStart"/>
      <w:r w:rsidRPr="0056025A">
        <w:t>ratings,</w:t>
      </w:r>
      <w:proofErr w:type="gramEnd"/>
      <w:r w:rsidRPr="0056025A">
        <w:t xml:space="preserve"> say an 'A' rating or a 'BBB' rating. The model developed using multiple </w:t>
      </w:r>
      <w:proofErr w:type="spellStart"/>
      <w:r w:rsidRPr="0056025A">
        <w:t>discriminant</w:t>
      </w:r>
      <w:proofErr w:type="spellEnd"/>
      <w:r w:rsidRPr="0056025A">
        <w:t xml:space="preserve"> analysis would classify each member of the sample into either the 'A' rating or 'BBB' rating </w:t>
      </w:r>
      <w:proofErr w:type="spellStart"/>
      <w:r w:rsidRPr="0056025A">
        <w:t>group</w:t>
      </w:r>
      <w:r w:rsidRPr="008C355B">
        <w:rPr>
          <w:sz w:val="20"/>
          <w:szCs w:val="20"/>
        </w:rPr>
        <w:t>.</w:t>
      </w:r>
      <w:r w:rsidR="0006646B" w:rsidRPr="00FB6C99">
        <w:t>A</w:t>
      </w:r>
      <w:proofErr w:type="spellEnd"/>
      <w:r w:rsidR="0006646B" w:rsidRPr="00FB6C99">
        <w:t xml:space="preserve"> rigorous application of the multiple discriminant technique involves</w:t>
      </w:r>
      <w:r w:rsidR="008C355B" w:rsidRPr="00FB6C99">
        <w:t xml:space="preserve"> collection of financial ratios</w:t>
      </w:r>
      <w:r w:rsidR="00FB6C99" w:rsidRPr="00FB6C99">
        <w:t>,</w:t>
      </w:r>
      <w:r w:rsidR="0006646B" w:rsidRPr="00FB6C99">
        <w:t xml:space="preserve"> perform c</w:t>
      </w:r>
      <w:r w:rsidR="008C355B" w:rsidRPr="00FB6C99">
        <w:t>alculation</w:t>
      </w:r>
      <w:r w:rsidR="00FB6C99" w:rsidRPr="00FB6C99">
        <w:t>,</w:t>
      </w:r>
      <w:r w:rsidR="008C355B" w:rsidRPr="00FB6C99">
        <w:t xml:space="preserve"> and the results </w:t>
      </w:r>
      <w:r w:rsidR="00BC501F">
        <w:t xml:space="preserve">which </w:t>
      </w:r>
      <w:r w:rsidR="008C355B" w:rsidRPr="00FB6C99">
        <w:t xml:space="preserve">analyzed to determine a combination </w:t>
      </w:r>
      <w:r w:rsidR="00BC501F">
        <w:t>that</w:t>
      </w:r>
      <w:r w:rsidR="008C355B" w:rsidRPr="00FB6C99">
        <w:t xml:space="preserve"> effectively classified the sample members into the correct priori groups. </w:t>
      </w:r>
    </w:p>
    <w:p w:rsidR="00FB6C99" w:rsidRPr="00FB6C99" w:rsidRDefault="00FB6C99" w:rsidP="00E15FE3">
      <w:pPr>
        <w:tabs>
          <w:tab w:val="left" w:pos="776"/>
        </w:tabs>
        <w:ind w:right="-90"/>
        <w:jc w:val="both"/>
      </w:pPr>
    </w:p>
    <w:p w:rsidR="00721FFC" w:rsidRPr="00FB6C99" w:rsidRDefault="00010753" w:rsidP="00941404">
      <w:pPr>
        <w:pStyle w:val="p1"/>
        <w:spacing w:line="240" w:lineRule="auto"/>
        <w:ind w:left="0" w:firstLine="0"/>
        <w:rPr>
          <w:b/>
          <w:bCs/>
          <w:iCs/>
        </w:rPr>
      </w:pPr>
      <w:r w:rsidRPr="00FB6C99">
        <w:rPr>
          <w:b/>
          <w:bCs/>
          <w:iCs/>
        </w:rPr>
        <w:t xml:space="preserve">Multiple Discriminate </w:t>
      </w:r>
      <w:proofErr w:type="gramStart"/>
      <w:r w:rsidR="00001B5B" w:rsidRPr="00FB6C99">
        <w:rPr>
          <w:b/>
          <w:bCs/>
          <w:iCs/>
        </w:rPr>
        <w:t>Analysi</w:t>
      </w:r>
      <w:r w:rsidR="004F0765" w:rsidRPr="00FB6C99">
        <w:rPr>
          <w:b/>
          <w:bCs/>
          <w:iCs/>
        </w:rPr>
        <w:t>s</w:t>
      </w:r>
      <w:proofErr w:type="gramEnd"/>
    </w:p>
    <w:p w:rsidR="00E15FE3" w:rsidRPr="00FB6C99" w:rsidRDefault="00E15FE3" w:rsidP="00941404">
      <w:pPr>
        <w:pStyle w:val="p1"/>
        <w:spacing w:line="240" w:lineRule="auto"/>
        <w:ind w:left="0" w:firstLine="0"/>
        <w:rPr>
          <w:b/>
          <w:bCs/>
          <w:i/>
          <w:iCs/>
        </w:rPr>
      </w:pPr>
    </w:p>
    <w:p w:rsidR="00801D7C" w:rsidRDefault="00010753" w:rsidP="00010753">
      <w:pPr>
        <w:jc w:val="both"/>
      </w:pPr>
      <w:r w:rsidRPr="00FB6C99">
        <w:t xml:space="preserve">Multiple </w:t>
      </w:r>
      <w:proofErr w:type="spellStart"/>
      <w:r w:rsidRPr="00FB6C99">
        <w:t>discrimina</w:t>
      </w:r>
      <w:r w:rsidR="00FB6C99">
        <w:t>nt</w:t>
      </w:r>
      <w:proofErr w:type="spellEnd"/>
      <w:r w:rsidRPr="00FB6C99">
        <w:t xml:space="preserve"> analysis (MDA) used to classify an observation into one of several a priori groupings based upon the observation's individual characteristics. After the group classifications are established and financial data collected, MDA then attempts to derive a linear combination of the characteristics which best discriminates among the groups. The linear equation is of the form </w:t>
      </w:r>
    </w:p>
    <w:p w:rsidR="00801D7C" w:rsidRDefault="00010753" w:rsidP="00CD2A28">
      <w:pPr>
        <w:jc w:val="right"/>
      </w:pPr>
      <w:r w:rsidRPr="00FB6C99">
        <w:t>Z = V</w:t>
      </w:r>
      <w:r w:rsidRPr="00FB6C99">
        <w:rPr>
          <w:vertAlign w:val="subscript"/>
        </w:rPr>
        <w:t>1</w:t>
      </w:r>
      <w:r w:rsidRPr="00FB6C99">
        <w:t>X</w:t>
      </w:r>
      <w:r w:rsidRPr="00FB6C99">
        <w:rPr>
          <w:vertAlign w:val="subscript"/>
        </w:rPr>
        <w:t>1</w:t>
      </w:r>
      <w:r w:rsidRPr="00FB6C99">
        <w:t xml:space="preserve"> + V</w:t>
      </w:r>
      <w:r w:rsidRPr="00FB6C99">
        <w:rPr>
          <w:vertAlign w:val="subscript"/>
        </w:rPr>
        <w:t>2</w:t>
      </w:r>
      <w:r w:rsidRPr="00FB6C99">
        <w:t>X</w:t>
      </w:r>
      <w:r w:rsidRPr="00FB6C99">
        <w:rPr>
          <w:vertAlign w:val="subscript"/>
        </w:rPr>
        <w:t>2</w:t>
      </w:r>
      <w:r w:rsidRPr="00FB6C99">
        <w:t>,</w:t>
      </w:r>
      <w:r w:rsidR="00CD2A28">
        <w:t xml:space="preserve">                                                       </w:t>
      </w:r>
      <w:r w:rsidR="004741D6">
        <w:t xml:space="preserve">                      </w:t>
      </w:r>
      <w:r w:rsidR="00CD2A28">
        <w:t xml:space="preserve"> (1)</w:t>
      </w:r>
    </w:p>
    <w:p w:rsidR="00801D7C" w:rsidRPr="00FB6C99" w:rsidRDefault="00BC501F" w:rsidP="00010753">
      <w:pPr>
        <w:jc w:val="both"/>
      </w:pPr>
      <w:r w:rsidRPr="00FB6C99">
        <w:t>Where</w:t>
      </w:r>
      <w:r w:rsidR="00010753" w:rsidRPr="00FB6C99">
        <w:t xml:space="preserve"> V</w:t>
      </w:r>
      <w:r w:rsidR="00010753" w:rsidRPr="00FB6C99">
        <w:rPr>
          <w:vertAlign w:val="subscript"/>
        </w:rPr>
        <w:t>1</w:t>
      </w:r>
      <w:r w:rsidR="00010753" w:rsidRPr="00FB6C99">
        <w:t xml:space="preserve"> and V</w:t>
      </w:r>
      <w:r w:rsidR="00010753" w:rsidRPr="00FB6C99">
        <w:rPr>
          <w:vertAlign w:val="subscript"/>
        </w:rPr>
        <w:t>2</w:t>
      </w:r>
      <w:r w:rsidR="00010753" w:rsidRPr="00FB6C99">
        <w:t xml:space="preserve"> are the discriminant coefficients and X</w:t>
      </w:r>
      <w:r w:rsidR="00010753" w:rsidRPr="00FB6C99">
        <w:rPr>
          <w:vertAlign w:val="subscript"/>
        </w:rPr>
        <w:t>1</w:t>
      </w:r>
      <w:r w:rsidR="00010753" w:rsidRPr="00FB6C99">
        <w:t xml:space="preserve"> and X</w:t>
      </w:r>
      <w:r w:rsidR="00010753" w:rsidRPr="00FB6C99">
        <w:rPr>
          <w:vertAlign w:val="subscript"/>
        </w:rPr>
        <w:t>2</w:t>
      </w:r>
      <w:r w:rsidR="00010753" w:rsidRPr="00FB6C99">
        <w:t xml:space="preserve"> are independent variables.</w:t>
      </w:r>
    </w:p>
    <w:p w:rsidR="00CD2A28" w:rsidRDefault="00010753" w:rsidP="00CD2A28">
      <w:pPr>
        <w:jc w:val="both"/>
      </w:pPr>
      <w:r w:rsidRPr="00FB6C99">
        <w:t>The problem is to determine V</w:t>
      </w:r>
      <w:r w:rsidRPr="00FB6C99">
        <w:rPr>
          <w:vertAlign w:val="subscript"/>
        </w:rPr>
        <w:t>1</w:t>
      </w:r>
      <w:r w:rsidRPr="00FB6C99">
        <w:t xml:space="preserve"> and V</w:t>
      </w:r>
      <w:r w:rsidRPr="00FB6C99">
        <w:rPr>
          <w:vertAlign w:val="subscript"/>
        </w:rPr>
        <w:t>2</w:t>
      </w:r>
      <w:r w:rsidRPr="00FB6C99">
        <w:t xml:space="preserve"> through</w:t>
      </w:r>
      <w:r w:rsidR="00C375F8">
        <w:t xml:space="preserve"> the</w:t>
      </w:r>
      <w:r w:rsidRPr="00FB6C99">
        <w:t xml:space="preserve"> use of historical data that makes Z useful as an index for discriminating among members of the two groups. To minimize the number of misclassifications, we need to separate the Z values of the two groups as widely as possible relative to the variations of Z within the </w:t>
      </w:r>
      <w:r w:rsidR="00BC501F">
        <w:t xml:space="preserve">groups.  </w:t>
      </w:r>
      <w:r w:rsidRPr="00FB6C99">
        <w:t>To do this, we find values of V and V that maximize the function.</w:t>
      </w:r>
    </w:p>
    <w:p w:rsidR="00010753" w:rsidRPr="00B23981" w:rsidRDefault="00D33705" w:rsidP="00CD2A28">
      <w:pPr>
        <w:jc w:val="right"/>
      </w:pPr>
      <m:oMath>
        <m:r>
          <m:rPr>
            <m:sty m:val="p"/>
          </m:rPr>
          <w:rPr>
            <w:rFonts w:ascii="Cambria Math" w:eastAsiaTheme="minorEastAsia"/>
          </w:rPr>
          <m:t>G</m:t>
        </m:r>
        <m:r>
          <w:rPr>
            <w:rFonts w:ascii="Cambria Math" w:eastAsiaTheme="minorEastAsia"/>
          </w:rPr>
          <m:t>=</m:t>
        </m:r>
        <m:f>
          <m:fPr>
            <m:ctrlPr>
              <w:rPr>
                <w:rFonts w:ascii="Cambria Math" w:eastAsiaTheme="minorEastAsia"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acc>
                          <m:accPr>
                            <m:chr m:val="̅"/>
                            <m:ctrlPr>
                              <w:rPr>
                                <w:rFonts w:ascii="Cambria Math" w:eastAsiaTheme="minorHAnsi" w:hAnsi="Cambria Math"/>
                              </w:rPr>
                            </m:ctrlPr>
                          </m:accPr>
                          <m:e>
                            <m:r>
                              <m:rPr>
                                <m:sty m:val="p"/>
                              </m:rPr>
                              <w:rPr>
                                <w:rFonts w:ascii="Cambria Math"/>
                              </w:rPr>
                              <m:t>Z</m:t>
                            </m:r>
                          </m:e>
                        </m:acc>
                      </m:e>
                      <m:sub>
                        <m:r>
                          <w:rPr>
                            <w:rFonts w:ascii="Cambria Math"/>
                          </w:rPr>
                          <m:t>1</m:t>
                        </m:r>
                      </m:sub>
                    </m:sSub>
                    <m:r>
                      <m:t>-</m:t>
                    </m:r>
                    <m:sSub>
                      <m:sSubPr>
                        <m:ctrlPr>
                          <w:rPr>
                            <w:rFonts w:ascii="Cambria Math" w:hAnsi="Cambria Math"/>
                          </w:rPr>
                        </m:ctrlPr>
                      </m:sSubPr>
                      <m:e>
                        <m:acc>
                          <m:accPr>
                            <m:chr m:val="̅"/>
                            <m:ctrlPr>
                              <w:rPr>
                                <w:rFonts w:ascii="Cambria Math" w:eastAsiaTheme="minorHAnsi" w:hAnsi="Cambria Math"/>
                              </w:rPr>
                            </m:ctrlPr>
                          </m:accPr>
                          <m:e>
                            <m:r>
                              <m:rPr>
                                <m:sty m:val="p"/>
                              </m:rPr>
                              <w:rPr>
                                <w:rFonts w:ascii="Cambria Math"/>
                              </w:rPr>
                              <m:t>Z</m:t>
                            </m:r>
                          </m:e>
                        </m:acc>
                      </m:e>
                      <m:sub>
                        <m:r>
                          <w:rPr>
                            <w:rFonts w:ascii="Cambria Math"/>
                          </w:rPr>
                          <m:t>2</m:t>
                        </m:r>
                      </m:sub>
                    </m:sSub>
                  </m:e>
                </m:d>
              </m:e>
              <m:sup>
                <m:r>
                  <w:rPr>
                    <w:rFonts w:ascii="Cambria Math"/>
                  </w:rPr>
                  <m:t>2</m:t>
                </m:r>
              </m:sup>
            </m:sSup>
          </m:num>
          <m:den>
            <m:nary>
              <m:naryPr>
                <m:chr m:val="∑"/>
                <m:grow m:val="on"/>
                <m:ctrlPr>
                  <w:rPr>
                    <w:rFonts w:ascii="Cambria Math" w:hAnsi="Cambria Math"/>
                  </w:rPr>
                </m:ctrlPr>
              </m:naryPr>
              <m:sub>
                <m:r>
                  <w:rPr>
                    <w:rFonts w:ascii="Cambria Math" w:hAnsi="Cambria Math"/>
                  </w:rPr>
                  <m:t>i</m:t>
                </m:r>
                <m:r>
                  <w:rPr>
                    <w:rFonts w:ascii="Cambria Math"/>
                  </w:rPr>
                  <m:t>=1</m:t>
                </m:r>
              </m:sub>
              <m:sup>
                <m:r>
                  <w:rPr>
                    <w:rFonts w:ascii="Cambria Math"/>
                  </w:rPr>
                  <m:t>2</m:t>
                </m:r>
              </m:sup>
              <m:e>
                <m:nary>
                  <m:naryPr>
                    <m:chr m:val="∑"/>
                    <m:grow m:val="on"/>
                    <m:ctrlPr>
                      <w:rPr>
                        <w:rFonts w:ascii="Cambria Math" w:eastAsiaTheme="minorEastAsia" w:hAnsi="Cambria Math"/>
                      </w:rPr>
                    </m:ctrlPr>
                  </m:naryPr>
                  <m:sub>
                    <m:r>
                      <w:rPr>
                        <w:rFonts w:ascii="Cambria Math" w:eastAsia="Cambria Math" w:hAnsi="Cambria Math"/>
                      </w:rPr>
                      <m:t>j</m:t>
                    </m:r>
                    <m:r>
                      <w:rPr>
                        <w:rFonts w:ascii="Cambria Math" w:eastAsia="Cambria Math"/>
                      </w:rPr>
                      <m:t>=1</m:t>
                    </m:r>
                  </m:sub>
                  <m:sup>
                    <m:r>
                      <w:rPr>
                        <w:rFonts w:ascii="Cambria Math" w:eastAsia="Cambria Math" w:hAnsi="Cambria Math"/>
                      </w:rPr>
                      <m:t>n</m:t>
                    </m:r>
                  </m:sup>
                  <m:e>
                    <m:sSup>
                      <m:sSupPr>
                        <m:ctrlPr>
                          <w:rPr>
                            <w:rFonts w:ascii="Cambria Math" w:eastAsiaTheme="minorEastAsia" w:hAnsi="Cambria Math"/>
                          </w:rPr>
                        </m:ctrlPr>
                      </m:sSupPr>
                      <m:e>
                        <m:d>
                          <m:dPr>
                            <m:ctrlPr>
                              <w:rPr>
                                <w:rFonts w:ascii="Cambria Math" w:eastAsiaTheme="minorEastAsia" w:hAnsi="Cambria Math"/>
                              </w:rPr>
                            </m:ctrlPr>
                          </m:dPr>
                          <m:e>
                            <m:sSub>
                              <m:sSubPr>
                                <m:ctrlPr>
                                  <w:rPr>
                                    <w:rFonts w:ascii="Cambria Math" w:hAnsi="Cambria Math"/>
                                  </w:rPr>
                                </m:ctrlPr>
                              </m:sSubPr>
                              <m:e>
                                <m:r>
                                  <w:rPr>
                                    <w:rFonts w:ascii="Cambria Math" w:eastAsia="Cambria Math" w:hAnsi="Cambria Math"/>
                                  </w:rPr>
                                  <m:t>Z</m:t>
                                </m:r>
                              </m:e>
                              <m:sub>
                                <m:r>
                                  <w:rPr>
                                    <w:rFonts w:ascii="Cambria Math" w:eastAsia="Cambria Math"/>
                                  </w:rPr>
                                  <m:t>1</m:t>
                                </m:r>
                                <m:r>
                                  <w:rPr>
                                    <w:rFonts w:ascii="Cambria Math" w:eastAsia="Cambria Math" w:hAnsi="Cambria Math"/>
                                  </w:rPr>
                                  <m:t>j</m:t>
                                </m:r>
                              </m:sub>
                            </m:sSub>
                            <m:r>
                              <w:rPr>
                                <w:rFonts w:eastAsia="Cambria Math"/>
                              </w:rPr>
                              <m:t>-</m:t>
                            </m:r>
                            <m:sSub>
                              <m:sSubPr>
                                <m:ctrlPr>
                                  <w:rPr>
                                    <w:rFonts w:ascii="Cambria Math" w:hAnsi="Cambria Math"/>
                                  </w:rPr>
                                </m:ctrlPr>
                              </m:sSubPr>
                              <m:e>
                                <m:acc>
                                  <m:accPr>
                                    <m:chr m:val="̅"/>
                                    <m:ctrlPr>
                                      <w:rPr>
                                        <w:rFonts w:ascii="Cambria Math" w:eastAsiaTheme="minorHAnsi" w:hAnsi="Cambria Math"/>
                                      </w:rPr>
                                    </m:ctrlPr>
                                  </m:accPr>
                                  <m:e>
                                    <m:r>
                                      <m:rPr>
                                        <m:sty m:val="p"/>
                                      </m:rPr>
                                      <w:rPr>
                                        <w:rFonts w:ascii="Cambria Math"/>
                                      </w:rPr>
                                      <m:t>Z</m:t>
                                    </m:r>
                                  </m:e>
                                </m:acc>
                              </m:e>
                              <m:sub>
                                <m:r>
                                  <w:rPr>
                                    <w:rFonts w:ascii="Cambria Math" w:hAnsi="Cambria Math"/>
                                  </w:rPr>
                                  <m:t>i</m:t>
                                </m:r>
                              </m:sub>
                            </m:sSub>
                          </m:e>
                        </m:d>
                      </m:e>
                      <m:sup>
                        <m:r>
                          <w:rPr>
                            <w:rFonts w:ascii="Cambria Math" w:eastAsiaTheme="minorEastAsia"/>
                          </w:rPr>
                          <m:t>2</m:t>
                        </m:r>
                      </m:sup>
                    </m:sSup>
                  </m:e>
                </m:nary>
              </m:e>
            </m:nary>
          </m:den>
        </m:f>
      </m:oMath>
      <w:r w:rsidR="00CD2A28">
        <w:t xml:space="preserve">                                           </w:t>
      </w:r>
      <w:r w:rsidR="004741D6">
        <w:t xml:space="preserve">                        </w:t>
      </w:r>
      <w:r w:rsidR="00CD2A28">
        <w:t xml:space="preserve"> (2)</w:t>
      </w:r>
    </w:p>
    <w:p w:rsidR="00D33705" w:rsidRPr="00FB6C99" w:rsidRDefault="00CB06C3" w:rsidP="00010753">
      <w:pPr>
        <w:jc w:val="both"/>
      </w:pPr>
      <w:r>
        <w:t>T</w:t>
      </w:r>
      <w:r w:rsidR="00010753" w:rsidRPr="00FB6C99">
        <w:t xml:space="preserve">he numerator represents the separation of the two groups and the denominator </w:t>
      </w:r>
      <w:r w:rsidR="00D33705" w:rsidRPr="00FB6C99">
        <w:t xml:space="preserve">represents </w:t>
      </w:r>
      <w:r w:rsidR="00010753" w:rsidRPr="00FB6C99">
        <w:t xml:space="preserve">the within group variation. </w:t>
      </w:r>
      <w:r w:rsidR="00D33705" w:rsidRPr="00FB6C99">
        <w:t>V</w:t>
      </w:r>
      <w:r w:rsidR="00D33705" w:rsidRPr="00FB6C99">
        <w:rPr>
          <w:vertAlign w:val="subscript"/>
        </w:rPr>
        <w:t>1</w:t>
      </w:r>
      <w:r w:rsidR="00D33705" w:rsidRPr="00FB6C99">
        <w:t xml:space="preserve"> and V</w:t>
      </w:r>
      <w:r w:rsidR="00D33705" w:rsidRPr="00FB6C99">
        <w:rPr>
          <w:vertAlign w:val="subscript"/>
        </w:rPr>
        <w:t>2</w:t>
      </w:r>
      <w:r w:rsidR="00010753" w:rsidRPr="00FB6C99">
        <w:t xml:space="preserve"> can be determined using the following equations </w:t>
      </w:r>
      <w:r w:rsidR="00D33705" w:rsidRPr="00FB6C99">
        <w:t>(derived by partial differentia</w:t>
      </w:r>
      <w:r w:rsidR="00010753" w:rsidRPr="00FB6C99">
        <w:t>t</w:t>
      </w:r>
      <w:r w:rsidR="00D33705" w:rsidRPr="00FB6C99">
        <w:t>i</w:t>
      </w:r>
      <w:r w:rsidR="00010753" w:rsidRPr="00FB6C99">
        <w:t>on):</w:t>
      </w:r>
    </w:p>
    <w:p w:rsidR="00010753" w:rsidRPr="00FB6C99" w:rsidRDefault="00D33705" w:rsidP="00CD2A28">
      <w:pPr>
        <w:ind w:left="3510"/>
        <w:rPr>
          <w:vertAlign w:val="subscript"/>
        </w:rPr>
      </w:pPr>
      <w:r w:rsidRPr="00FB6C99">
        <w:t>V</w:t>
      </w:r>
      <w:r w:rsidRPr="00FB6C99">
        <w:rPr>
          <w:vertAlign w:val="subscript"/>
        </w:rPr>
        <w:t>1</w:t>
      </w:r>
      <w:r w:rsidRPr="00FB6C99">
        <w:t>S</w:t>
      </w:r>
      <w:r w:rsidRPr="00FB6C99">
        <w:rPr>
          <w:vertAlign w:val="subscript"/>
        </w:rPr>
        <w:t>11</w:t>
      </w:r>
      <w:r w:rsidRPr="00FB6C99">
        <w:t xml:space="preserve"> + </w:t>
      </w:r>
      <w:r w:rsidR="00FB6C99" w:rsidRPr="00FB6C99">
        <w:t>V</w:t>
      </w:r>
      <w:r w:rsidR="00FB6C99" w:rsidRPr="00FB6C99">
        <w:rPr>
          <w:vertAlign w:val="subscript"/>
        </w:rPr>
        <w:t>2</w:t>
      </w:r>
      <w:r w:rsidR="00FB6C99" w:rsidRPr="00FB6C99">
        <w:t>S</w:t>
      </w:r>
      <w:r w:rsidR="00FB6C99" w:rsidRPr="00FB6C99">
        <w:rPr>
          <w:vertAlign w:val="subscript"/>
        </w:rPr>
        <w:t>12</w:t>
      </w:r>
      <w:r w:rsidR="00FB6C99" w:rsidRPr="00FB6C99">
        <w:t xml:space="preserve"> = d1</w:t>
      </w:r>
      <w:r w:rsidR="00CD2A28">
        <w:t xml:space="preserve">                                                                          (3)</w:t>
      </w:r>
    </w:p>
    <w:p w:rsidR="002901D6" w:rsidRPr="00FB6C99" w:rsidRDefault="002901D6" w:rsidP="00CD2A28">
      <w:pPr>
        <w:ind w:left="2790" w:firstLine="720"/>
      </w:pPr>
      <w:r w:rsidRPr="00FB6C99">
        <w:t>V</w:t>
      </w:r>
      <w:r w:rsidRPr="00FB6C99">
        <w:rPr>
          <w:vertAlign w:val="subscript"/>
        </w:rPr>
        <w:t>1</w:t>
      </w:r>
      <w:r w:rsidRPr="00FB6C99">
        <w:t>S</w:t>
      </w:r>
      <w:r w:rsidRPr="00FB6C99">
        <w:rPr>
          <w:vertAlign w:val="subscript"/>
        </w:rPr>
        <w:t>21</w:t>
      </w:r>
      <w:r w:rsidRPr="00FB6C99">
        <w:t xml:space="preserve"> + </w:t>
      </w:r>
      <w:r w:rsidR="00FB6C99" w:rsidRPr="00FB6C99">
        <w:t>V</w:t>
      </w:r>
      <w:r w:rsidR="00FB6C99" w:rsidRPr="00FB6C99">
        <w:rPr>
          <w:vertAlign w:val="subscript"/>
        </w:rPr>
        <w:t>2</w:t>
      </w:r>
      <w:r w:rsidR="00FB6C99" w:rsidRPr="00FB6C99">
        <w:t>S</w:t>
      </w:r>
      <w:r w:rsidR="00FB6C99" w:rsidRPr="00FB6C99">
        <w:rPr>
          <w:vertAlign w:val="subscript"/>
        </w:rPr>
        <w:t>22</w:t>
      </w:r>
      <w:r w:rsidR="00FB6C99" w:rsidRPr="00FB6C99">
        <w:t xml:space="preserve"> = d2</w:t>
      </w:r>
      <w:r w:rsidR="00CD2A28">
        <w:t xml:space="preserve">                                                                          (4)</w:t>
      </w:r>
    </w:p>
    <w:p w:rsidR="00BC501F" w:rsidRDefault="00514401" w:rsidP="00D74328">
      <w:pPr>
        <w:ind w:left="2880"/>
        <w:jc w:val="both"/>
      </w:pPr>
      <w:r w:rsidRPr="00FB6C99">
        <w:t>Where</w:t>
      </w:r>
      <w:r w:rsidR="000B7E51" w:rsidRPr="00FB6C99">
        <w:t>:</w:t>
      </w:r>
      <w:r w:rsidR="00010753" w:rsidRPr="00FB6C99">
        <w:tab/>
      </w:r>
    </w:p>
    <w:p w:rsidR="00D74328" w:rsidRPr="00FB6C99" w:rsidRDefault="00035A06" w:rsidP="00CD2A28">
      <w:pPr>
        <w:ind w:left="2880"/>
        <w:jc w:val="both"/>
      </w:pPr>
      <m:oMath>
        <m:sSub>
          <m:sSubPr>
            <m:ctrlPr>
              <w:rPr>
                <w:rFonts w:ascii="Cambria Math" w:hAnsi="Cambria Math"/>
              </w:rPr>
            </m:ctrlPr>
          </m:sSubPr>
          <m:e>
            <m:r>
              <w:rPr>
                <w:rFonts w:ascii="Cambria Math" w:eastAsia="Cambria Math" w:hAnsi="Cambria Math"/>
              </w:rPr>
              <m:t>S</m:t>
            </m:r>
          </m:e>
          <m:sub>
            <m:r>
              <w:rPr>
                <w:rFonts w:ascii="Cambria Math" w:eastAsia="Cambria Math" w:hAnsi="Cambria Math"/>
              </w:rPr>
              <m:t>pq</m:t>
            </m:r>
          </m:sub>
        </m:sSub>
        <m:r>
          <m:rPr>
            <m:sty m:val="p"/>
          </m:rPr>
          <w:rPr>
            <w:rFonts w:ascii="Cambria Math"/>
          </w:rPr>
          <m:t>=</m:t>
        </m:r>
        <m:nary>
          <m:naryPr>
            <m:chr m:val="∑"/>
            <m:grow m:val="on"/>
            <m:ctrlPr>
              <w:rPr>
                <w:rFonts w:ascii="Cambria Math" w:hAnsi="Cambria Math"/>
              </w:rPr>
            </m:ctrlPr>
          </m:naryPr>
          <m:sub>
            <m:r>
              <w:rPr>
                <w:rFonts w:ascii="Cambria Math" w:hAnsi="Cambria Math"/>
              </w:rPr>
              <m:t>i</m:t>
            </m:r>
            <m:r>
              <w:rPr>
                <w:rFonts w:ascii="Cambria Math"/>
              </w:rPr>
              <m:t>=1</m:t>
            </m:r>
          </m:sub>
          <m:sup>
            <m:r>
              <w:rPr>
                <w:rFonts w:ascii="Cambria Math"/>
              </w:rPr>
              <m:t>2</m:t>
            </m:r>
          </m:sup>
          <m:e>
            <m:nary>
              <m:naryPr>
                <m:chr m:val="∑"/>
                <m:grow m:val="on"/>
                <m:ctrlPr>
                  <w:rPr>
                    <w:rFonts w:ascii="Cambria Math" w:eastAsiaTheme="minorEastAsia" w:hAnsi="Cambria Math"/>
                  </w:rPr>
                </m:ctrlPr>
              </m:naryPr>
              <m:sub>
                <m:r>
                  <w:rPr>
                    <w:rFonts w:ascii="Cambria Math" w:eastAsiaTheme="minorEastAsia" w:hAnsi="Cambria Math"/>
                  </w:rPr>
                  <m:t>j</m:t>
                </m:r>
                <m:r>
                  <w:rPr>
                    <w:rFonts w:ascii="Cambria Math" w:eastAsiaTheme="minorEastAsia"/>
                  </w:rPr>
                  <m:t>=1</m:t>
                </m:r>
              </m:sub>
              <m:sup>
                <m:r>
                  <w:rPr>
                    <w:rFonts w:ascii="Cambria Math" w:eastAsiaTheme="minorEastAsia" w:hAnsi="Cambria Math"/>
                  </w:rPr>
                  <m:t>n</m:t>
                </m:r>
              </m:sup>
              <m:e>
                <m:d>
                  <m:dPr>
                    <m:ctrlPr>
                      <w:rPr>
                        <w:rFonts w:ascii="Cambria Math" w:eastAsiaTheme="minorEastAsia" w:hAnsi="Cambria Math"/>
                      </w:rPr>
                    </m:ctrlPr>
                  </m:dPr>
                  <m:e>
                    <m:sSub>
                      <m:sSubPr>
                        <m:ctrlPr>
                          <w:rPr>
                            <w:rFonts w:ascii="Cambria Math" w:hAnsi="Cambria Math"/>
                          </w:rPr>
                        </m:ctrlPr>
                      </m:sSubPr>
                      <m:e>
                        <m:r>
                          <w:rPr>
                            <w:rFonts w:ascii="Cambria Math" w:eastAsia="Cambria Math" w:hAnsi="Cambria Math"/>
                          </w:rPr>
                          <m:t>X</m:t>
                        </m:r>
                      </m:e>
                      <m:sub>
                        <m:r>
                          <w:rPr>
                            <w:rFonts w:ascii="Cambria Math" w:eastAsia="Cambria Math" w:hAnsi="Cambria Math"/>
                          </w:rPr>
                          <m:t>pLj</m:t>
                        </m:r>
                      </m:sub>
                    </m:sSub>
                    <m:r>
                      <w:rPr>
                        <w:rFonts w:eastAsia="Cambria Math"/>
                      </w:rPr>
                      <m:t>-</m:t>
                    </m:r>
                    <m:sSub>
                      <m:sSubPr>
                        <m:ctrlPr>
                          <w:rPr>
                            <w:rFonts w:ascii="Cambria Math" w:hAnsi="Cambria Math"/>
                          </w:rPr>
                        </m:ctrlPr>
                      </m:sSubPr>
                      <m:e>
                        <m:acc>
                          <m:accPr>
                            <m:chr m:val="̅"/>
                            <m:ctrlPr>
                              <w:rPr>
                                <w:rFonts w:ascii="Cambria Math" w:eastAsiaTheme="minorHAnsi" w:hAnsi="Cambria Math"/>
                              </w:rPr>
                            </m:ctrlPr>
                          </m:accPr>
                          <m:e>
                            <m:r>
                              <m:rPr>
                                <m:sty m:val="p"/>
                              </m:rPr>
                              <w:rPr>
                                <w:rFonts w:ascii="Cambria Math"/>
                              </w:rPr>
                              <m:t>X</m:t>
                            </m:r>
                          </m:e>
                        </m:acc>
                      </m:e>
                      <m:sub>
                        <m:r>
                          <w:rPr>
                            <w:rFonts w:ascii="Cambria Math" w:hAnsi="Cambria Math"/>
                          </w:rPr>
                          <m:t>pL</m:t>
                        </m:r>
                      </m:sub>
                    </m:sSub>
                  </m:e>
                </m:d>
                <m:d>
                  <m:dPr>
                    <m:ctrlPr>
                      <w:rPr>
                        <w:rFonts w:ascii="Cambria Math" w:eastAsiaTheme="minorEastAsia" w:hAnsi="Cambria Math"/>
                      </w:rPr>
                    </m:ctrlPr>
                  </m:dPr>
                  <m:e>
                    <m:sSub>
                      <m:sSubPr>
                        <m:ctrlPr>
                          <w:rPr>
                            <w:rFonts w:ascii="Cambria Math" w:hAnsi="Cambria Math"/>
                          </w:rPr>
                        </m:ctrlPr>
                      </m:sSubPr>
                      <m:e>
                        <m:r>
                          <w:rPr>
                            <w:rFonts w:ascii="Cambria Math" w:eastAsia="Cambria Math" w:hAnsi="Cambria Math"/>
                          </w:rPr>
                          <m:t>X</m:t>
                        </m:r>
                      </m:e>
                      <m:sub>
                        <m:r>
                          <w:rPr>
                            <w:rFonts w:ascii="Cambria Math" w:eastAsia="Cambria Math" w:hAnsi="Cambria Math"/>
                          </w:rPr>
                          <m:t>qij</m:t>
                        </m:r>
                      </m:sub>
                    </m:sSub>
                    <m:r>
                      <w:rPr>
                        <w:rFonts w:eastAsia="Cambria Math"/>
                      </w:rPr>
                      <m:t>-</m:t>
                    </m:r>
                    <m:sSub>
                      <m:sSubPr>
                        <m:ctrlPr>
                          <w:rPr>
                            <w:rFonts w:ascii="Cambria Math" w:hAnsi="Cambria Math"/>
                          </w:rPr>
                        </m:ctrlPr>
                      </m:sSubPr>
                      <m:e>
                        <m:acc>
                          <m:accPr>
                            <m:chr m:val="̅"/>
                            <m:ctrlPr>
                              <w:rPr>
                                <w:rFonts w:ascii="Cambria Math" w:eastAsiaTheme="minorHAnsi" w:hAnsi="Cambria Math"/>
                              </w:rPr>
                            </m:ctrlPr>
                          </m:accPr>
                          <m:e>
                            <m:r>
                              <m:rPr>
                                <m:sty m:val="p"/>
                              </m:rPr>
                              <w:rPr>
                                <w:rFonts w:ascii="Cambria Math"/>
                              </w:rPr>
                              <m:t>X</m:t>
                            </m:r>
                          </m:e>
                        </m:acc>
                      </m:e>
                      <m:sub>
                        <m:r>
                          <w:rPr>
                            <w:rFonts w:ascii="Cambria Math" w:hAnsi="Cambria Math"/>
                          </w:rPr>
                          <m:t>qi</m:t>
                        </m:r>
                      </m:sub>
                    </m:sSub>
                  </m:e>
                </m:d>
              </m:e>
            </m:nary>
          </m:e>
        </m:nary>
      </m:oMath>
      <w:r w:rsidR="00CD2A28">
        <w:t xml:space="preserve">                                      (5)</w:t>
      </w:r>
    </w:p>
    <w:p w:rsidR="00010753" w:rsidRPr="00FB6C99" w:rsidRDefault="00D74328" w:rsidP="00D74328">
      <w:pPr>
        <w:ind w:left="2880"/>
        <w:jc w:val="both"/>
      </w:pPr>
      <m:oMathPara>
        <m:oMathParaPr>
          <m:jc m:val="left"/>
        </m:oMathParaPr>
        <m:oMath>
          <m:r>
            <w:rPr>
              <w:rFonts w:ascii="Cambria Math" w:eastAsiaTheme="minorEastAsia" w:hAnsi="Cambria Math"/>
            </w:rPr>
            <w:lastRenderedPageBreak/>
            <m:t xml:space="preserve">d   = </m:t>
          </m:r>
          <m:d>
            <m:dPr>
              <m:ctrlPr>
                <w:rPr>
                  <w:rFonts w:ascii="Cambria Math" w:eastAsiaTheme="minorEastAsia" w:hAnsi="Cambria Math"/>
                </w:rPr>
              </m:ctrlPr>
            </m:dPr>
            <m:e>
              <m:sSub>
                <m:sSubPr>
                  <m:ctrlPr>
                    <w:rPr>
                      <w:rFonts w:ascii="Cambria Math" w:hAnsi="Cambria Math"/>
                    </w:rPr>
                  </m:ctrlPr>
                </m:sSubPr>
                <m:e>
                  <m:acc>
                    <m:accPr>
                      <m:chr m:val="̅"/>
                      <m:ctrlPr>
                        <w:rPr>
                          <w:rFonts w:ascii="Cambria Math" w:eastAsiaTheme="minorHAnsi" w:hAnsi="Cambria Math" w:cstheme="minorBidi"/>
                        </w:rPr>
                      </m:ctrlPr>
                    </m:accPr>
                    <m:e>
                      <m:r>
                        <m:rPr>
                          <m:sty m:val="p"/>
                        </m:rPr>
                        <w:rPr>
                          <w:rFonts w:ascii="Cambria Math" w:hAnsi="Cambria Math"/>
                        </w:rPr>
                        <m:t>X</m:t>
                      </m:r>
                    </m:e>
                  </m:acc>
                </m:e>
                <m:sub>
                  <m:r>
                    <w:rPr>
                      <w:rFonts w:ascii="Cambria Math" w:hAnsi="Cambria Math"/>
                    </w:rPr>
                    <m:t>pi</m:t>
                  </m:r>
                </m:sub>
              </m:sSub>
              <m:r>
                <w:rPr>
                  <w:rFonts w:ascii="Cambria Math" w:hAnsi="Cambria Math"/>
                </w:rPr>
                <m:t>-</m:t>
              </m:r>
              <m:sSub>
                <m:sSubPr>
                  <m:ctrlPr>
                    <w:rPr>
                      <w:rFonts w:ascii="Cambria Math" w:hAnsi="Cambria Math"/>
                    </w:rPr>
                  </m:ctrlPr>
                </m:sSubPr>
                <m:e>
                  <m:acc>
                    <m:accPr>
                      <m:chr m:val="̅"/>
                      <m:ctrlPr>
                        <w:rPr>
                          <w:rFonts w:ascii="Cambria Math" w:eastAsiaTheme="minorHAnsi" w:hAnsi="Cambria Math" w:cstheme="minorBidi"/>
                        </w:rPr>
                      </m:ctrlPr>
                    </m:accPr>
                    <m:e>
                      <m:r>
                        <m:rPr>
                          <m:sty m:val="p"/>
                        </m:rPr>
                        <w:rPr>
                          <w:rFonts w:ascii="Cambria Math" w:hAnsi="Cambria Math"/>
                        </w:rPr>
                        <m:t>X</m:t>
                      </m:r>
                    </m:e>
                  </m:acc>
                </m:e>
                <m:sub>
                  <m:r>
                    <w:rPr>
                      <w:rFonts w:ascii="Cambria Math" w:hAnsi="Cambria Math"/>
                    </w:rPr>
                    <m:t>pL</m:t>
                  </m:r>
                </m:sub>
              </m:sSub>
            </m:e>
          </m:d>
        </m:oMath>
      </m:oMathPara>
    </w:p>
    <w:p w:rsidR="00010753" w:rsidRPr="00FB6C99" w:rsidRDefault="00010753" w:rsidP="00D74328">
      <w:pPr>
        <w:ind w:left="2880"/>
        <w:jc w:val="both"/>
      </w:pPr>
      <w:r w:rsidRPr="00FB6C99">
        <w:t>p = 1</w:t>
      </w:r>
      <w:r w:rsidR="00CB06C3" w:rsidRPr="00FB6C99">
        <w:t>, 2</w:t>
      </w:r>
    </w:p>
    <w:p w:rsidR="00D74328" w:rsidRDefault="00010753" w:rsidP="00CB06C3">
      <w:pPr>
        <w:ind w:left="2880"/>
        <w:jc w:val="both"/>
      </w:pPr>
      <w:r w:rsidRPr="00FB6C99">
        <w:t>q = 1</w:t>
      </w:r>
      <w:r w:rsidR="00CB06C3" w:rsidRPr="00FB6C99">
        <w:t>, 2</w:t>
      </w:r>
    </w:p>
    <w:p w:rsidR="00CB06C3" w:rsidRPr="00FB6C99" w:rsidRDefault="00CB06C3" w:rsidP="00CB06C3">
      <w:pPr>
        <w:ind w:left="2880"/>
        <w:jc w:val="both"/>
      </w:pPr>
    </w:p>
    <w:p w:rsidR="00D74328" w:rsidRDefault="00D74328" w:rsidP="00D74328">
      <w:pPr>
        <w:pStyle w:val="p1"/>
        <w:spacing w:line="240" w:lineRule="auto"/>
        <w:ind w:left="0" w:firstLine="0"/>
        <w:rPr>
          <w:b/>
          <w:bCs/>
          <w:iCs/>
        </w:rPr>
      </w:pPr>
      <w:r w:rsidRPr="00FB6C99">
        <w:rPr>
          <w:b/>
          <w:bCs/>
          <w:iCs/>
        </w:rPr>
        <w:t xml:space="preserve">Development </w:t>
      </w:r>
      <w:r w:rsidR="00514401" w:rsidRPr="00FB6C99">
        <w:rPr>
          <w:b/>
          <w:bCs/>
          <w:iCs/>
        </w:rPr>
        <w:t>of</w:t>
      </w:r>
      <w:r w:rsidRPr="00FB6C99">
        <w:rPr>
          <w:b/>
          <w:bCs/>
          <w:iCs/>
        </w:rPr>
        <w:t xml:space="preserve"> </w:t>
      </w:r>
      <w:r w:rsidR="00514401" w:rsidRPr="00FB6C99">
        <w:rPr>
          <w:b/>
          <w:bCs/>
          <w:iCs/>
        </w:rPr>
        <w:t>the</w:t>
      </w:r>
      <w:r w:rsidRPr="00FB6C99">
        <w:rPr>
          <w:b/>
          <w:bCs/>
          <w:iCs/>
        </w:rPr>
        <w:t xml:space="preserve"> Model</w:t>
      </w:r>
    </w:p>
    <w:p w:rsidR="00B23981" w:rsidRPr="00FB6C99" w:rsidRDefault="00B23981" w:rsidP="00D74328">
      <w:pPr>
        <w:pStyle w:val="p1"/>
        <w:spacing w:line="240" w:lineRule="auto"/>
        <w:ind w:left="0" w:firstLine="0"/>
        <w:rPr>
          <w:b/>
          <w:bCs/>
          <w:i/>
          <w:iCs/>
        </w:rPr>
      </w:pPr>
    </w:p>
    <w:p w:rsidR="001A4383" w:rsidRDefault="00010753" w:rsidP="001A4383">
      <w:pPr>
        <w:jc w:val="both"/>
      </w:pPr>
      <w:r w:rsidRPr="00FB6C99">
        <w:t>Previous</w:t>
      </w:r>
      <w:r w:rsidR="00C762FF">
        <w:t xml:space="preserve"> MDA models of bond ratings </w:t>
      </w:r>
      <w:r w:rsidRPr="00FB6C99">
        <w:t xml:space="preserve">typically predicted ratings with 60-70% </w:t>
      </w:r>
      <w:r w:rsidR="00BF7B25" w:rsidRPr="00FB6C99">
        <w:t>accuracy</w:t>
      </w:r>
      <w:r w:rsidR="00CB06C3">
        <w:t xml:space="preserve">.  </w:t>
      </w:r>
      <w:r w:rsidR="004741D6" w:rsidRPr="004741D6">
        <w:t>Although an improvement over random prediction, it is arguable whether this is an improvement over the results which would be obtained through use of an expert financial analyst. Perhaps one reason for the results obtained is the non-homogeneity of the sample.</w:t>
      </w:r>
      <w:r w:rsidR="004741D6" w:rsidRPr="00010753">
        <w:rPr>
          <w:sz w:val="20"/>
          <w:szCs w:val="20"/>
        </w:rPr>
        <w:t xml:space="preserve"> </w:t>
      </w:r>
      <w:r w:rsidR="00CB06C3">
        <w:t>The intent of</w:t>
      </w:r>
      <w:r w:rsidR="00CB06C3" w:rsidRPr="00FB6C99">
        <w:t xml:space="preserve"> course</w:t>
      </w:r>
      <w:r w:rsidR="00D74328" w:rsidRPr="00FB6C99">
        <w:t xml:space="preserve"> is to develop a model that is applicable to a wide range of situations but the internal assumption that the rating services apply identical criteria regardless of the debtor's size</w:t>
      </w:r>
      <w:r w:rsidR="00C762FF">
        <w:t>.</w:t>
      </w:r>
      <w:r w:rsidR="006025EC">
        <w:t xml:space="preserve"> </w:t>
      </w:r>
      <w:r w:rsidR="004741D6" w:rsidRPr="004741D6">
        <w:t>To obtain a homogeneous sample for use in this study, the initial list of all companies with an 'A' or 'BBB' rating was screened to eliminate the very large (greater than $1 billion in annual revenues) and the very small (less than $100 million) firms as well as any companies operated by municipalities. From the firms remaining, five were eliminated from the sample because accurate data on construction expenditures could not be obtained in the time frames available. One last screen was conducted to eliminate firms whose bond rating changed from 'A' to 'BBB' or from 'BBB' to 'A' within six months after the sample date. This screen eliminated one firm. A total of 26 firms remained after this screening process, 13 with an 'A' rating and 13 with a 'BBB' rating. Although the initial plan was to perform a stratified sample of the companies comprising the population, given the manageable size of the 26 firm samples it was decided to develop the MDA model using all of the remaining firms. The average size of the firms comprising the 'A' rating group and the 'BBB' rating group was comparable.</w:t>
      </w:r>
      <w:r w:rsidR="006025EC">
        <w:t xml:space="preserve"> </w:t>
      </w:r>
      <w:r w:rsidR="00D74328" w:rsidRPr="00FB6C99">
        <w:t>After the initial groups were defined and firms selected, financial</w:t>
      </w:r>
      <w:r w:rsidR="001A4383" w:rsidRPr="00FB6C99">
        <w:t xml:space="preserve"> </w:t>
      </w:r>
      <w:r w:rsidR="00CC2B0C" w:rsidRPr="00FB6C99">
        <w:t xml:space="preserve">data were collected. A list of </w:t>
      </w:r>
      <w:r w:rsidR="00D74328" w:rsidRPr="00FB6C99">
        <w:t xml:space="preserve">eight ratios was compiled. Ratios used included profitability, leverage, liquidity, activity, and cash flow. </w:t>
      </w:r>
      <w:r w:rsidR="00CF6981">
        <w:t>T</w:t>
      </w:r>
      <w:r w:rsidR="00D74328" w:rsidRPr="00FB6C99">
        <w:t xml:space="preserve">wo ratios were selected as doing the best job of classifying the </w:t>
      </w:r>
      <w:r w:rsidR="000B7E51" w:rsidRPr="00FB6C99">
        <w:t>companies</w:t>
      </w:r>
      <w:r w:rsidR="001A4383" w:rsidRPr="00FB6C99">
        <w:t xml:space="preserve"> </w:t>
      </w:r>
      <w:r w:rsidR="005B504B">
        <w:t xml:space="preserve">into the correct groups and </w:t>
      </w:r>
      <w:r w:rsidR="001A4383" w:rsidRPr="00FB6C99">
        <w:t>are discussed below.</w:t>
      </w:r>
    </w:p>
    <w:p w:rsidR="00826A3B" w:rsidRPr="00FB6C99" w:rsidRDefault="00826A3B" w:rsidP="001A4383">
      <w:pPr>
        <w:jc w:val="both"/>
      </w:pPr>
    </w:p>
    <w:p w:rsidR="00826A3B" w:rsidRPr="00FB6C99" w:rsidRDefault="001A4383" w:rsidP="001A4383">
      <w:pPr>
        <w:jc w:val="both"/>
      </w:pPr>
      <w:r w:rsidRPr="00FB6C99">
        <w:rPr>
          <w:u w:val="single"/>
        </w:rPr>
        <w:t>X</w:t>
      </w:r>
      <w:r w:rsidRPr="00FB6C99">
        <w:rPr>
          <w:u w:val="single"/>
          <w:vertAlign w:val="subscript"/>
        </w:rPr>
        <w:t>1</w:t>
      </w:r>
      <w:r w:rsidRPr="00FB6C99">
        <w:rPr>
          <w:u w:val="single"/>
        </w:rPr>
        <w:t xml:space="preserve"> - AFUDC/Net Income</w:t>
      </w:r>
      <w:r w:rsidRPr="00FB6C99">
        <w:t xml:space="preserve">. A principle used in establishing electric utility rates is that current rate payers should pay only the cost of providing current service. Electric generating plants are expensive and take years to construct. Large amounts of funds are tied up in construction work in progress yet regulators will not allow a current return on the assets. If no recourse were available to the </w:t>
      </w:r>
      <w:r w:rsidR="000B7E51" w:rsidRPr="00FB6C99">
        <w:t>companies</w:t>
      </w:r>
      <w:r w:rsidRPr="00FB6C99">
        <w:t>, it is doubtful that genera</w:t>
      </w:r>
      <w:r w:rsidR="00CD2A28">
        <w:t>t</w:t>
      </w:r>
      <w:r w:rsidRPr="00FB6C99">
        <w:t>ing plants could continue to be built.</w:t>
      </w:r>
    </w:p>
    <w:p w:rsidR="001A4383" w:rsidRPr="00FB6C99" w:rsidRDefault="001A4383" w:rsidP="001A4383">
      <w:pPr>
        <w:jc w:val="both"/>
      </w:pPr>
      <w:r w:rsidRPr="00FB6C99">
        <w:rPr>
          <w:u w:val="single"/>
        </w:rPr>
        <w:t>X</w:t>
      </w:r>
      <w:r w:rsidRPr="00FB6C99">
        <w:rPr>
          <w:u w:val="single"/>
          <w:vertAlign w:val="subscript"/>
        </w:rPr>
        <w:t>2</w:t>
      </w:r>
      <w:r w:rsidRPr="00FB6C99">
        <w:rPr>
          <w:u w:val="single"/>
        </w:rPr>
        <w:t xml:space="preserve"> - Cash Flow/Construction Expenditures</w:t>
      </w:r>
      <w:r w:rsidRPr="00FB6C99">
        <w:t xml:space="preserve">. </w:t>
      </w:r>
      <w:r w:rsidR="0053515F">
        <w:t>C</w:t>
      </w:r>
      <w:r w:rsidRPr="00FB6C99">
        <w:t xml:space="preserve">ash flow is calculated as net income plus depreciation less AFUDC. Standard and </w:t>
      </w:r>
      <w:r w:rsidR="00514401" w:rsidRPr="00FB6C99">
        <w:t>Poor’s</w:t>
      </w:r>
      <w:r w:rsidRPr="00FB6C99">
        <w:t xml:space="preserve"> has indicated that a utility's construction program is a key component of S&amp;P's assessment of the utility's credit </w:t>
      </w:r>
      <w:r w:rsidR="00A758EA" w:rsidRPr="00FB6C99">
        <w:t>worthiness</w:t>
      </w:r>
      <w:r w:rsidRPr="00FB6C99">
        <w:t>. As noted above, electric generating plants are expensive and time consuming to build</w:t>
      </w:r>
      <w:r w:rsidR="00634E6D">
        <w:t xml:space="preserve">, so </w:t>
      </w:r>
      <w:r w:rsidRPr="00FB6C99">
        <w:t>the risk of default increases with the relative magnitude of ongoing construction work.</w:t>
      </w:r>
      <w:r w:rsidR="006025EC">
        <w:t xml:space="preserve"> </w:t>
      </w:r>
      <w:r w:rsidR="004741D6" w:rsidRPr="004741D6">
        <w:t>A utility usually requires outside financing funding construction, but like any other business, a measure of the utility's long term survival potential is the level of funding that can be provided from internal sources. With regard to establishing bond ratings this ratio provides a good indicator of the funds that will be available to retire debt issues. A high level of internally generated funds should be viewed by the bond holder as a positive factor and, conversely, a low level of internally generated funds should be viewed as a negative factor by the bond holder and should be associated with lower rated bonds.</w:t>
      </w:r>
      <w:r w:rsidR="006025EC">
        <w:t xml:space="preserve"> </w:t>
      </w:r>
      <w:r w:rsidRPr="00FB6C99">
        <w:t xml:space="preserve">The </w:t>
      </w:r>
      <w:proofErr w:type="spellStart"/>
      <w:r w:rsidRPr="00FB6C99">
        <w:t>discriminant</w:t>
      </w:r>
      <w:proofErr w:type="spellEnd"/>
      <w:r w:rsidRPr="00FB6C99">
        <w:t xml:space="preserve"> function calculated using these ratios is:</w:t>
      </w:r>
    </w:p>
    <w:p w:rsidR="00826A3B" w:rsidRDefault="001A4383" w:rsidP="006025EC">
      <w:pPr>
        <w:jc w:val="right"/>
      </w:pPr>
      <w:r w:rsidRPr="00FB6C99">
        <w:t>Z = -0.0014X</w:t>
      </w:r>
      <w:r w:rsidRPr="00FB6C99">
        <w:rPr>
          <w:vertAlign w:val="subscript"/>
        </w:rPr>
        <w:t>1</w:t>
      </w:r>
      <w:r w:rsidRPr="00FB6C99">
        <w:t xml:space="preserve"> - 0.1236X</w:t>
      </w:r>
      <w:r w:rsidRPr="00FB6C99">
        <w:rPr>
          <w:vertAlign w:val="subscript"/>
        </w:rPr>
        <w:t>2</w:t>
      </w:r>
      <w:r w:rsidR="00CD2A28">
        <w:rPr>
          <w:vertAlign w:val="subscript"/>
        </w:rPr>
        <w:t xml:space="preserve">                                                                                                         </w:t>
      </w:r>
      <w:r w:rsidR="00CD2A28" w:rsidRPr="00CD2A28">
        <w:t xml:space="preserve"> (6)</w:t>
      </w:r>
    </w:p>
    <w:p w:rsidR="002F4D3C" w:rsidRDefault="00593DB5" w:rsidP="00E15FE3">
      <w:pPr>
        <w:jc w:val="both"/>
      </w:pPr>
      <w:r>
        <w:t>A</w:t>
      </w:r>
      <w:r w:rsidRPr="00FB6C99">
        <w:t>n ‘F’ test tests</w:t>
      </w:r>
      <w:r w:rsidR="001A4383" w:rsidRPr="00FB6C99">
        <w:t xml:space="preserve"> the discriminating ability of the individual variables and of the di</w:t>
      </w:r>
      <w:r>
        <w:t>scriminate function</w:t>
      </w:r>
      <w:r w:rsidR="001A4383" w:rsidRPr="00FB6C99">
        <w:t xml:space="preserve">. The null hypothesis is that the two groups are identical. If the </w:t>
      </w:r>
      <w:r w:rsidR="00AB0EFE">
        <w:t>F-</w:t>
      </w:r>
      <w:r w:rsidR="001A4383" w:rsidRPr="00FB6C99">
        <w:t>va</w:t>
      </w:r>
      <w:r w:rsidR="00AB0EFE">
        <w:t>lue is less than the expected F-</w:t>
      </w:r>
      <w:r w:rsidR="001A4383" w:rsidRPr="00FB6C99">
        <w:t>value for a given significance level</w:t>
      </w:r>
      <w:r w:rsidR="00634E6D">
        <w:t>,</w:t>
      </w:r>
      <w:r w:rsidR="001A4383" w:rsidRPr="00FB6C99">
        <w:t xml:space="preserve"> then the null hypothesis is supported. </w:t>
      </w:r>
      <w:r w:rsidR="007C7D4D">
        <w:t>In Table 1</w:t>
      </w:r>
      <w:r w:rsidR="001A4383" w:rsidRPr="00FB6C99">
        <w:t>, X</w:t>
      </w:r>
      <w:r w:rsidR="00634E6D" w:rsidRPr="002F4D3C">
        <w:rPr>
          <w:vertAlign w:val="subscript"/>
        </w:rPr>
        <w:t>1</w:t>
      </w:r>
      <w:r w:rsidR="00634E6D">
        <w:t xml:space="preserve"> and X</w:t>
      </w:r>
      <w:r w:rsidR="00634E6D" w:rsidRPr="002F4D3C">
        <w:rPr>
          <w:vertAlign w:val="subscript"/>
        </w:rPr>
        <w:t>2</w:t>
      </w:r>
      <w:r w:rsidR="001A4383" w:rsidRPr="00FB6C99">
        <w:t xml:space="preserve"> are significant at the .001 level</w:t>
      </w:r>
      <w:r w:rsidR="002F4D3C">
        <w:t xml:space="preserve"> so</w:t>
      </w:r>
      <w:r w:rsidR="001A4383" w:rsidRPr="00FB6C99">
        <w:t xml:space="preserve"> the null hypothesis is rejected. </w:t>
      </w:r>
      <w:r w:rsidR="00C951ED">
        <w:t>T</w:t>
      </w:r>
      <w:r w:rsidR="001A4383" w:rsidRPr="00FB6C99">
        <w:t xml:space="preserve">he Z values </w:t>
      </w:r>
      <w:r w:rsidR="00C951ED">
        <w:t xml:space="preserve">are </w:t>
      </w:r>
      <w:r w:rsidR="001A4383" w:rsidRPr="00FB6C99">
        <w:t xml:space="preserve">statistically significant and </w:t>
      </w:r>
      <w:r w:rsidR="001A4383" w:rsidRPr="00FB6C99">
        <w:lastRenderedPageBreak/>
        <w:t xml:space="preserve">presumably useful for classifying observations into the different bond rating groups. </w:t>
      </w:r>
    </w:p>
    <w:p w:rsidR="00826A3B" w:rsidRPr="00FB6C99" w:rsidRDefault="00826A3B" w:rsidP="00E15FE3">
      <w:pPr>
        <w:jc w:val="both"/>
      </w:pPr>
    </w:p>
    <w:p w:rsidR="001A4383" w:rsidRPr="00FB6C99" w:rsidRDefault="001A4383" w:rsidP="001A4383">
      <w:pPr>
        <w:jc w:val="center"/>
        <w:rPr>
          <w:b/>
        </w:rPr>
      </w:pPr>
      <w:r w:rsidRPr="00FB6C99">
        <w:rPr>
          <w:b/>
        </w:rPr>
        <w:t>Table 1</w:t>
      </w:r>
    </w:p>
    <w:tbl>
      <w:tblPr>
        <w:tblStyle w:val="TableClassic1"/>
        <w:tblW w:w="4224" w:type="dxa"/>
        <w:jc w:val="center"/>
        <w:tblLook w:val="04A0"/>
      </w:tblPr>
      <w:tblGrid>
        <w:gridCol w:w="1062"/>
        <w:gridCol w:w="1095"/>
        <w:gridCol w:w="1095"/>
        <w:gridCol w:w="972"/>
      </w:tblGrid>
      <w:tr w:rsidR="00D47A49" w:rsidRPr="00FB6C99" w:rsidTr="00D47A49">
        <w:trPr>
          <w:cnfStyle w:val="100000000000"/>
          <w:trHeight w:val="255"/>
          <w:jc w:val="center"/>
        </w:trPr>
        <w:tc>
          <w:tcPr>
            <w:cnfStyle w:val="001000000000"/>
            <w:tcW w:w="1062" w:type="dxa"/>
            <w:tcBorders>
              <w:bottom w:val="nil"/>
            </w:tcBorders>
            <w:noWrap/>
            <w:hideMark/>
          </w:tcPr>
          <w:p w:rsidR="00D47A49" w:rsidRPr="00FB6C99" w:rsidRDefault="00D47A49" w:rsidP="00D47A49">
            <w:pPr>
              <w:widowControl/>
              <w:autoSpaceDE/>
              <w:autoSpaceDN/>
              <w:adjustRightInd/>
              <w:rPr>
                <w:color w:val="000000"/>
              </w:rPr>
            </w:pPr>
          </w:p>
        </w:tc>
        <w:tc>
          <w:tcPr>
            <w:tcW w:w="2190" w:type="dxa"/>
            <w:gridSpan w:val="2"/>
            <w:tcBorders>
              <w:bottom w:val="nil"/>
              <w:right w:val="single" w:sz="4" w:space="0" w:color="auto"/>
            </w:tcBorders>
            <w:noWrap/>
            <w:hideMark/>
          </w:tcPr>
          <w:p w:rsidR="00D47A49" w:rsidRPr="00FB6C99" w:rsidRDefault="00D47A49" w:rsidP="00D47A49">
            <w:pPr>
              <w:widowControl/>
              <w:autoSpaceDE/>
              <w:autoSpaceDN/>
              <w:adjustRightInd/>
              <w:jc w:val="center"/>
              <w:cnfStyle w:val="100000000000"/>
              <w:rPr>
                <w:color w:val="000000"/>
              </w:rPr>
            </w:pPr>
            <w:r w:rsidRPr="00FB6C99">
              <w:rPr>
                <w:color w:val="000000"/>
              </w:rPr>
              <w:t>Group Means</w:t>
            </w:r>
          </w:p>
        </w:tc>
        <w:tc>
          <w:tcPr>
            <w:tcW w:w="972" w:type="dxa"/>
            <w:tcBorders>
              <w:top w:val="single" w:sz="12" w:space="0" w:color="000000"/>
              <w:left w:val="single" w:sz="4" w:space="0" w:color="auto"/>
              <w:bottom w:val="nil"/>
            </w:tcBorders>
            <w:noWrap/>
            <w:hideMark/>
          </w:tcPr>
          <w:p w:rsidR="00D47A49" w:rsidRPr="00FB6C99" w:rsidRDefault="00D47A49" w:rsidP="00D47A49">
            <w:pPr>
              <w:widowControl/>
              <w:autoSpaceDE/>
              <w:autoSpaceDN/>
              <w:adjustRightInd/>
              <w:cnfStyle w:val="100000000000"/>
              <w:rPr>
                <w:color w:val="000000"/>
              </w:rPr>
            </w:pPr>
          </w:p>
        </w:tc>
      </w:tr>
      <w:tr w:rsidR="00D47A49" w:rsidRPr="00FB6C99" w:rsidTr="00D47A49">
        <w:trPr>
          <w:trHeight w:val="255"/>
          <w:jc w:val="center"/>
        </w:trPr>
        <w:tc>
          <w:tcPr>
            <w:cnfStyle w:val="001000000000"/>
            <w:tcW w:w="1062" w:type="dxa"/>
            <w:tcBorders>
              <w:top w:val="nil"/>
              <w:bottom w:val="single" w:sz="4" w:space="0" w:color="auto"/>
            </w:tcBorders>
            <w:noWrap/>
            <w:hideMark/>
          </w:tcPr>
          <w:p w:rsidR="00D47A49" w:rsidRPr="00FB6C99" w:rsidRDefault="00D47A49" w:rsidP="00D47A49">
            <w:pPr>
              <w:widowControl/>
              <w:autoSpaceDE/>
              <w:autoSpaceDN/>
              <w:adjustRightInd/>
              <w:rPr>
                <w:color w:val="000000"/>
              </w:rPr>
            </w:pPr>
            <w:r w:rsidRPr="00FB6C99">
              <w:rPr>
                <w:color w:val="000000"/>
              </w:rPr>
              <w:t>Variable</w:t>
            </w:r>
          </w:p>
        </w:tc>
        <w:tc>
          <w:tcPr>
            <w:tcW w:w="1095" w:type="dxa"/>
            <w:tcBorders>
              <w:top w:val="nil"/>
              <w:bottom w:val="single" w:sz="4" w:space="0" w:color="auto"/>
            </w:tcBorders>
            <w:noWrap/>
            <w:hideMark/>
          </w:tcPr>
          <w:p w:rsidR="00D47A49" w:rsidRPr="00FB6C99" w:rsidRDefault="00D47A49" w:rsidP="00D47A49">
            <w:pPr>
              <w:widowControl/>
              <w:autoSpaceDE/>
              <w:autoSpaceDN/>
              <w:adjustRightInd/>
              <w:jc w:val="center"/>
              <w:cnfStyle w:val="000000000000"/>
              <w:rPr>
                <w:color w:val="000000"/>
              </w:rPr>
            </w:pPr>
            <w:r w:rsidRPr="00FB6C99">
              <w:rPr>
                <w:color w:val="000000"/>
              </w:rPr>
              <w:t>A Rating</w:t>
            </w:r>
          </w:p>
        </w:tc>
        <w:tc>
          <w:tcPr>
            <w:tcW w:w="1095" w:type="dxa"/>
            <w:tcBorders>
              <w:top w:val="nil"/>
              <w:bottom w:val="single" w:sz="4" w:space="0" w:color="auto"/>
              <w:right w:val="single" w:sz="4" w:space="0" w:color="auto"/>
            </w:tcBorders>
            <w:noWrap/>
            <w:hideMark/>
          </w:tcPr>
          <w:p w:rsidR="00D47A49" w:rsidRPr="00FB6C99" w:rsidRDefault="00D47A49" w:rsidP="00D47A49">
            <w:pPr>
              <w:widowControl/>
              <w:autoSpaceDE/>
              <w:autoSpaceDN/>
              <w:adjustRightInd/>
              <w:jc w:val="center"/>
              <w:cnfStyle w:val="000000000000"/>
              <w:rPr>
                <w:color w:val="000000"/>
              </w:rPr>
            </w:pPr>
            <w:r w:rsidRPr="00FB6C99">
              <w:rPr>
                <w:color w:val="000000"/>
              </w:rPr>
              <w:t>B Rating</w:t>
            </w:r>
          </w:p>
        </w:tc>
        <w:tc>
          <w:tcPr>
            <w:tcW w:w="972" w:type="dxa"/>
            <w:tcBorders>
              <w:top w:val="nil"/>
              <w:left w:val="single" w:sz="4" w:space="0" w:color="auto"/>
              <w:bottom w:val="single" w:sz="4" w:space="0" w:color="auto"/>
            </w:tcBorders>
            <w:noWrap/>
            <w:hideMark/>
          </w:tcPr>
          <w:p w:rsidR="00D47A49" w:rsidRPr="00FB6C99" w:rsidRDefault="00D47A49" w:rsidP="00D47A49">
            <w:pPr>
              <w:widowControl/>
              <w:autoSpaceDE/>
              <w:autoSpaceDN/>
              <w:adjustRightInd/>
              <w:jc w:val="center"/>
              <w:cnfStyle w:val="000000000000"/>
              <w:rPr>
                <w:color w:val="000000"/>
              </w:rPr>
            </w:pPr>
            <w:r w:rsidRPr="00FB6C99">
              <w:rPr>
                <w:color w:val="000000"/>
              </w:rPr>
              <w:t>F Ratio</w:t>
            </w:r>
          </w:p>
        </w:tc>
      </w:tr>
      <w:tr w:rsidR="00D47A49" w:rsidRPr="00FB6C99" w:rsidTr="00D47A49">
        <w:trPr>
          <w:trHeight w:val="315"/>
          <w:jc w:val="center"/>
        </w:trPr>
        <w:tc>
          <w:tcPr>
            <w:cnfStyle w:val="001000000000"/>
            <w:tcW w:w="1062" w:type="dxa"/>
            <w:tcBorders>
              <w:top w:val="single" w:sz="4" w:space="0" w:color="auto"/>
              <w:bottom w:val="nil"/>
            </w:tcBorders>
            <w:noWrap/>
            <w:hideMark/>
          </w:tcPr>
          <w:p w:rsidR="00D47A49" w:rsidRPr="00FB6C99" w:rsidRDefault="00D47A49" w:rsidP="00D47A49">
            <w:pPr>
              <w:widowControl/>
              <w:autoSpaceDE/>
              <w:autoSpaceDN/>
              <w:adjustRightInd/>
              <w:rPr>
                <w:color w:val="000000"/>
              </w:rPr>
            </w:pPr>
            <w:r w:rsidRPr="00FB6C99">
              <w:rPr>
                <w:color w:val="000000"/>
              </w:rPr>
              <w:t>X</w:t>
            </w:r>
            <w:r w:rsidRPr="00FB6C99">
              <w:rPr>
                <w:color w:val="000000"/>
                <w:vertAlign w:val="subscript"/>
              </w:rPr>
              <w:t>1</w:t>
            </w:r>
          </w:p>
        </w:tc>
        <w:tc>
          <w:tcPr>
            <w:tcW w:w="1095" w:type="dxa"/>
            <w:tcBorders>
              <w:top w:val="single" w:sz="4" w:space="0" w:color="auto"/>
              <w:bottom w:val="nil"/>
            </w:tcBorders>
            <w:noWrap/>
            <w:hideMark/>
          </w:tcPr>
          <w:p w:rsidR="00D47A49" w:rsidRPr="00FB6C99" w:rsidRDefault="00D47A49" w:rsidP="00D47A49">
            <w:pPr>
              <w:widowControl/>
              <w:autoSpaceDE/>
              <w:autoSpaceDN/>
              <w:adjustRightInd/>
              <w:jc w:val="right"/>
              <w:cnfStyle w:val="000000000000"/>
              <w:rPr>
                <w:color w:val="000000"/>
              </w:rPr>
            </w:pPr>
            <w:r w:rsidRPr="00FB6C99">
              <w:rPr>
                <w:color w:val="000000"/>
              </w:rPr>
              <w:t>46.72</w:t>
            </w:r>
          </w:p>
        </w:tc>
        <w:tc>
          <w:tcPr>
            <w:tcW w:w="1095" w:type="dxa"/>
            <w:tcBorders>
              <w:top w:val="single" w:sz="4" w:space="0" w:color="auto"/>
              <w:bottom w:val="nil"/>
              <w:right w:val="single" w:sz="4" w:space="0" w:color="auto"/>
            </w:tcBorders>
            <w:noWrap/>
            <w:hideMark/>
          </w:tcPr>
          <w:p w:rsidR="00D47A49" w:rsidRPr="00FB6C99" w:rsidRDefault="00D47A49" w:rsidP="00D47A49">
            <w:pPr>
              <w:widowControl/>
              <w:autoSpaceDE/>
              <w:autoSpaceDN/>
              <w:adjustRightInd/>
              <w:jc w:val="right"/>
              <w:cnfStyle w:val="000000000000"/>
              <w:rPr>
                <w:color w:val="000000"/>
              </w:rPr>
            </w:pPr>
            <w:r w:rsidRPr="00FB6C99">
              <w:rPr>
                <w:color w:val="000000"/>
              </w:rPr>
              <w:t>2.11</w:t>
            </w:r>
          </w:p>
        </w:tc>
        <w:tc>
          <w:tcPr>
            <w:tcW w:w="972" w:type="dxa"/>
            <w:tcBorders>
              <w:top w:val="single" w:sz="4" w:space="0" w:color="auto"/>
              <w:left w:val="single" w:sz="4" w:space="0" w:color="auto"/>
              <w:bottom w:val="nil"/>
            </w:tcBorders>
            <w:noWrap/>
            <w:hideMark/>
          </w:tcPr>
          <w:p w:rsidR="00D47A49" w:rsidRPr="00FB6C99" w:rsidRDefault="00D47A49" w:rsidP="00D47A49">
            <w:pPr>
              <w:widowControl/>
              <w:autoSpaceDE/>
              <w:autoSpaceDN/>
              <w:adjustRightInd/>
              <w:jc w:val="right"/>
              <w:cnfStyle w:val="000000000000"/>
              <w:rPr>
                <w:color w:val="000000"/>
              </w:rPr>
            </w:pPr>
            <w:r w:rsidRPr="00FB6C99">
              <w:rPr>
                <w:color w:val="000000"/>
              </w:rPr>
              <w:t>16.56</w:t>
            </w:r>
          </w:p>
        </w:tc>
      </w:tr>
      <w:tr w:rsidR="00D47A49" w:rsidRPr="00FB6C99" w:rsidTr="00D47A49">
        <w:trPr>
          <w:trHeight w:val="315"/>
          <w:jc w:val="center"/>
        </w:trPr>
        <w:tc>
          <w:tcPr>
            <w:cnfStyle w:val="001000000000"/>
            <w:tcW w:w="1062" w:type="dxa"/>
            <w:tcBorders>
              <w:top w:val="nil"/>
              <w:bottom w:val="single" w:sz="4" w:space="0" w:color="auto"/>
            </w:tcBorders>
            <w:noWrap/>
            <w:hideMark/>
          </w:tcPr>
          <w:p w:rsidR="00D47A49" w:rsidRPr="00FB6C99" w:rsidRDefault="00D47A49" w:rsidP="00D47A49">
            <w:pPr>
              <w:widowControl/>
              <w:autoSpaceDE/>
              <w:autoSpaceDN/>
              <w:adjustRightInd/>
              <w:rPr>
                <w:color w:val="000000"/>
              </w:rPr>
            </w:pPr>
            <w:r w:rsidRPr="00FB6C99">
              <w:rPr>
                <w:color w:val="000000"/>
              </w:rPr>
              <w:t>X</w:t>
            </w:r>
            <w:r w:rsidRPr="00FB6C99">
              <w:rPr>
                <w:color w:val="000000"/>
                <w:vertAlign w:val="subscript"/>
              </w:rPr>
              <w:t>2</w:t>
            </w:r>
          </w:p>
        </w:tc>
        <w:tc>
          <w:tcPr>
            <w:tcW w:w="1095" w:type="dxa"/>
            <w:tcBorders>
              <w:top w:val="nil"/>
              <w:bottom w:val="single" w:sz="4" w:space="0" w:color="auto"/>
            </w:tcBorders>
            <w:noWrap/>
            <w:hideMark/>
          </w:tcPr>
          <w:p w:rsidR="00D47A49" w:rsidRPr="00FB6C99" w:rsidRDefault="00D47A49" w:rsidP="00D47A49">
            <w:pPr>
              <w:widowControl/>
              <w:autoSpaceDE/>
              <w:autoSpaceDN/>
              <w:adjustRightInd/>
              <w:jc w:val="right"/>
              <w:cnfStyle w:val="000000000000"/>
              <w:rPr>
                <w:color w:val="000000"/>
              </w:rPr>
            </w:pPr>
            <w:r w:rsidRPr="00FB6C99">
              <w:rPr>
                <w:color w:val="000000"/>
              </w:rPr>
              <w:t>1.39</w:t>
            </w:r>
          </w:p>
        </w:tc>
        <w:tc>
          <w:tcPr>
            <w:tcW w:w="1095" w:type="dxa"/>
            <w:tcBorders>
              <w:top w:val="nil"/>
              <w:bottom w:val="single" w:sz="4" w:space="0" w:color="auto"/>
              <w:right w:val="single" w:sz="4" w:space="0" w:color="auto"/>
            </w:tcBorders>
            <w:noWrap/>
            <w:hideMark/>
          </w:tcPr>
          <w:p w:rsidR="00D47A49" w:rsidRPr="00FB6C99" w:rsidRDefault="00D47A49" w:rsidP="00D47A49">
            <w:pPr>
              <w:widowControl/>
              <w:autoSpaceDE/>
              <w:autoSpaceDN/>
              <w:adjustRightInd/>
              <w:jc w:val="right"/>
              <w:cnfStyle w:val="000000000000"/>
              <w:rPr>
                <w:color w:val="000000"/>
              </w:rPr>
            </w:pPr>
            <w:r w:rsidRPr="00FB6C99">
              <w:rPr>
                <w:color w:val="000000"/>
              </w:rPr>
              <w:t>0.39</w:t>
            </w:r>
          </w:p>
        </w:tc>
        <w:tc>
          <w:tcPr>
            <w:tcW w:w="972" w:type="dxa"/>
            <w:tcBorders>
              <w:top w:val="nil"/>
              <w:left w:val="single" w:sz="4" w:space="0" w:color="auto"/>
              <w:bottom w:val="single" w:sz="4" w:space="0" w:color="auto"/>
            </w:tcBorders>
            <w:noWrap/>
            <w:hideMark/>
          </w:tcPr>
          <w:p w:rsidR="00D47A49" w:rsidRPr="00FB6C99" w:rsidRDefault="00D47A49" w:rsidP="00D47A49">
            <w:pPr>
              <w:widowControl/>
              <w:autoSpaceDE/>
              <w:autoSpaceDN/>
              <w:adjustRightInd/>
              <w:jc w:val="right"/>
              <w:cnfStyle w:val="000000000000"/>
              <w:rPr>
                <w:color w:val="000000"/>
              </w:rPr>
            </w:pPr>
            <w:r w:rsidRPr="00FB6C99">
              <w:rPr>
                <w:color w:val="000000"/>
              </w:rPr>
              <w:t>24.23</w:t>
            </w:r>
          </w:p>
        </w:tc>
      </w:tr>
      <w:tr w:rsidR="00D47A49" w:rsidRPr="00FB6C99" w:rsidTr="00D47A49">
        <w:trPr>
          <w:trHeight w:val="255"/>
          <w:jc w:val="center"/>
        </w:trPr>
        <w:tc>
          <w:tcPr>
            <w:cnfStyle w:val="001000000000"/>
            <w:tcW w:w="1062" w:type="dxa"/>
            <w:noWrap/>
            <w:hideMark/>
          </w:tcPr>
          <w:p w:rsidR="00D47A49" w:rsidRPr="00FB6C99" w:rsidRDefault="00D47A49" w:rsidP="00D47A49">
            <w:pPr>
              <w:widowControl/>
              <w:autoSpaceDE/>
              <w:autoSpaceDN/>
              <w:adjustRightInd/>
              <w:rPr>
                <w:color w:val="000000"/>
              </w:rPr>
            </w:pPr>
            <w:r w:rsidRPr="00FB6C99">
              <w:rPr>
                <w:color w:val="000000"/>
              </w:rPr>
              <w:t>Z</w:t>
            </w:r>
          </w:p>
        </w:tc>
        <w:tc>
          <w:tcPr>
            <w:tcW w:w="1095" w:type="dxa"/>
            <w:noWrap/>
            <w:hideMark/>
          </w:tcPr>
          <w:p w:rsidR="00D47A49" w:rsidRPr="00FB6C99" w:rsidRDefault="00D47A49" w:rsidP="00D47A49">
            <w:pPr>
              <w:widowControl/>
              <w:autoSpaceDE/>
              <w:autoSpaceDN/>
              <w:adjustRightInd/>
              <w:jc w:val="right"/>
              <w:cnfStyle w:val="000000000000"/>
              <w:rPr>
                <w:color w:val="000000"/>
              </w:rPr>
            </w:pPr>
            <w:r w:rsidRPr="00FB6C99">
              <w:rPr>
                <w:color w:val="000000"/>
              </w:rPr>
              <w:t>-0.24</w:t>
            </w:r>
          </w:p>
        </w:tc>
        <w:tc>
          <w:tcPr>
            <w:tcW w:w="1095" w:type="dxa"/>
            <w:tcBorders>
              <w:right w:val="single" w:sz="4" w:space="0" w:color="auto"/>
            </w:tcBorders>
            <w:noWrap/>
            <w:hideMark/>
          </w:tcPr>
          <w:p w:rsidR="00D47A49" w:rsidRPr="00FB6C99" w:rsidRDefault="00D47A49" w:rsidP="00D47A49">
            <w:pPr>
              <w:widowControl/>
              <w:autoSpaceDE/>
              <w:autoSpaceDN/>
              <w:adjustRightInd/>
              <w:jc w:val="right"/>
              <w:cnfStyle w:val="000000000000"/>
              <w:rPr>
                <w:color w:val="000000"/>
              </w:rPr>
            </w:pPr>
            <w:r w:rsidRPr="00FB6C99">
              <w:rPr>
                <w:color w:val="000000"/>
              </w:rPr>
              <w:t>-0.05</w:t>
            </w:r>
          </w:p>
        </w:tc>
        <w:tc>
          <w:tcPr>
            <w:tcW w:w="972" w:type="dxa"/>
            <w:tcBorders>
              <w:left w:val="single" w:sz="4" w:space="0" w:color="auto"/>
              <w:bottom w:val="single" w:sz="12" w:space="0" w:color="000000"/>
            </w:tcBorders>
            <w:noWrap/>
            <w:hideMark/>
          </w:tcPr>
          <w:p w:rsidR="00D47A49" w:rsidRPr="00FB6C99" w:rsidRDefault="00D47A49" w:rsidP="00D47A49">
            <w:pPr>
              <w:widowControl/>
              <w:autoSpaceDE/>
              <w:autoSpaceDN/>
              <w:adjustRightInd/>
              <w:jc w:val="right"/>
              <w:cnfStyle w:val="000000000000"/>
              <w:rPr>
                <w:color w:val="000000"/>
              </w:rPr>
            </w:pPr>
            <w:r w:rsidRPr="00FB6C99">
              <w:rPr>
                <w:color w:val="000000"/>
              </w:rPr>
              <w:t>20.18</w:t>
            </w:r>
          </w:p>
        </w:tc>
      </w:tr>
    </w:tbl>
    <w:p w:rsidR="001A4383" w:rsidRPr="00FB6C99" w:rsidRDefault="00D47A49" w:rsidP="00D47A49">
      <w:pPr>
        <w:jc w:val="center"/>
      </w:pPr>
      <w:proofErr w:type="gramStart"/>
      <w:r w:rsidRPr="00FB6C99">
        <w:t>F[</w:t>
      </w:r>
      <w:proofErr w:type="gramEnd"/>
      <w:r w:rsidRPr="00FB6C99">
        <w:t>1,20] @ 0.001 = 14.82</w:t>
      </w:r>
    </w:p>
    <w:p w:rsidR="00DD1775" w:rsidRPr="00FB6C99" w:rsidRDefault="001A4383" w:rsidP="00DD1775">
      <w:pPr>
        <w:pStyle w:val="p1"/>
        <w:spacing w:line="240" w:lineRule="auto"/>
        <w:ind w:left="0" w:firstLine="0"/>
        <w:rPr>
          <w:b/>
          <w:bCs/>
          <w:iCs/>
        </w:rPr>
      </w:pPr>
      <w:r w:rsidRPr="00FB6C99">
        <w:rPr>
          <w:b/>
          <w:bCs/>
          <w:iCs/>
        </w:rPr>
        <w:t>Empirical Results</w:t>
      </w:r>
    </w:p>
    <w:p w:rsidR="00DD1775" w:rsidRPr="00FB6C99" w:rsidRDefault="00DD1775" w:rsidP="00E15FE3">
      <w:pPr>
        <w:jc w:val="both"/>
      </w:pPr>
    </w:p>
    <w:p w:rsidR="00AB0EFE" w:rsidRDefault="00AB0EFE" w:rsidP="00E15FE3">
      <w:pPr>
        <w:jc w:val="both"/>
      </w:pPr>
      <w:r>
        <w:t>T</w:t>
      </w:r>
      <w:r w:rsidR="00D47A49" w:rsidRPr="00FB6C99">
        <w:t>he results</w:t>
      </w:r>
      <w:r>
        <w:t xml:space="preserve"> below</w:t>
      </w:r>
      <w:r w:rsidR="00D47A49" w:rsidRPr="00FB6C99">
        <w:t xml:space="preserve"> displayed in a two by two classification matrix that allow assessment of the overall accuracy of the discriminant equation as well as the level of Type I and Type II error. </w:t>
      </w:r>
    </w:p>
    <w:p w:rsidR="00826A3B" w:rsidRPr="00FB6C99" w:rsidRDefault="00826A3B" w:rsidP="00E15FE3">
      <w:pPr>
        <w:jc w:val="both"/>
      </w:pPr>
    </w:p>
    <w:tbl>
      <w:tblPr>
        <w:tblW w:w="5760" w:type="dxa"/>
        <w:jc w:val="center"/>
        <w:tblInd w:w="99" w:type="dxa"/>
        <w:tblLook w:val="04A0"/>
      </w:tblPr>
      <w:tblGrid>
        <w:gridCol w:w="2760"/>
        <w:gridCol w:w="1511"/>
        <w:gridCol w:w="1489"/>
      </w:tblGrid>
      <w:tr w:rsidR="00D47A49" w:rsidRPr="00FB6C99" w:rsidTr="00D47A49">
        <w:trPr>
          <w:trHeight w:val="255"/>
          <w:jc w:val="center"/>
        </w:trPr>
        <w:tc>
          <w:tcPr>
            <w:tcW w:w="2760" w:type="dxa"/>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rPr>
                <w:color w:val="000000"/>
              </w:rPr>
            </w:pPr>
          </w:p>
        </w:tc>
        <w:tc>
          <w:tcPr>
            <w:tcW w:w="3000" w:type="dxa"/>
            <w:gridSpan w:val="2"/>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jc w:val="center"/>
              <w:rPr>
                <w:color w:val="000000"/>
                <w:u w:val="single"/>
              </w:rPr>
            </w:pPr>
            <w:r w:rsidRPr="00FB6C99">
              <w:rPr>
                <w:color w:val="000000"/>
                <w:u w:val="single"/>
              </w:rPr>
              <w:t xml:space="preserve">Predicted Group Membership </w:t>
            </w:r>
          </w:p>
        </w:tc>
      </w:tr>
      <w:tr w:rsidR="00D47A49" w:rsidRPr="00FB6C99" w:rsidTr="00D47A49">
        <w:trPr>
          <w:trHeight w:val="255"/>
          <w:jc w:val="center"/>
        </w:trPr>
        <w:tc>
          <w:tcPr>
            <w:tcW w:w="2760" w:type="dxa"/>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rPr>
                <w:color w:val="000000"/>
                <w:u w:val="single"/>
              </w:rPr>
            </w:pPr>
            <w:r w:rsidRPr="00FB6C99">
              <w:rPr>
                <w:color w:val="000000"/>
                <w:u w:val="single"/>
              </w:rPr>
              <w:t>Actual Group Membership</w:t>
            </w:r>
          </w:p>
        </w:tc>
        <w:tc>
          <w:tcPr>
            <w:tcW w:w="1511" w:type="dxa"/>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jc w:val="center"/>
              <w:rPr>
                <w:color w:val="000000"/>
                <w:u w:val="single"/>
              </w:rPr>
            </w:pPr>
            <w:r w:rsidRPr="00FB6C99">
              <w:rPr>
                <w:color w:val="000000"/>
                <w:u w:val="single"/>
              </w:rPr>
              <w:t>A Rating</w:t>
            </w:r>
          </w:p>
        </w:tc>
        <w:tc>
          <w:tcPr>
            <w:tcW w:w="1489" w:type="dxa"/>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jc w:val="center"/>
              <w:rPr>
                <w:color w:val="000000"/>
                <w:u w:val="single"/>
              </w:rPr>
            </w:pPr>
            <w:r w:rsidRPr="00FB6C99">
              <w:rPr>
                <w:color w:val="000000"/>
                <w:u w:val="single"/>
              </w:rPr>
              <w:t>B Rating</w:t>
            </w:r>
          </w:p>
        </w:tc>
      </w:tr>
      <w:tr w:rsidR="00D47A49" w:rsidRPr="00FB6C99" w:rsidTr="00D47A49">
        <w:trPr>
          <w:trHeight w:val="255"/>
          <w:jc w:val="center"/>
        </w:trPr>
        <w:tc>
          <w:tcPr>
            <w:tcW w:w="2760" w:type="dxa"/>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rPr>
                <w:color w:val="000000"/>
              </w:rPr>
            </w:pPr>
            <w:r w:rsidRPr="00FB6C99">
              <w:rPr>
                <w:color w:val="000000"/>
              </w:rPr>
              <w:t>A Rating</w:t>
            </w:r>
          </w:p>
        </w:tc>
        <w:tc>
          <w:tcPr>
            <w:tcW w:w="1511" w:type="dxa"/>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jc w:val="center"/>
              <w:rPr>
                <w:color w:val="000000"/>
              </w:rPr>
            </w:pPr>
            <w:r w:rsidRPr="00FB6C99">
              <w:rPr>
                <w:color w:val="000000"/>
              </w:rPr>
              <w:t>correct</w:t>
            </w:r>
          </w:p>
        </w:tc>
        <w:tc>
          <w:tcPr>
            <w:tcW w:w="1489" w:type="dxa"/>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jc w:val="center"/>
              <w:rPr>
                <w:color w:val="000000"/>
              </w:rPr>
            </w:pPr>
            <w:r w:rsidRPr="00FB6C99">
              <w:rPr>
                <w:color w:val="000000"/>
              </w:rPr>
              <w:t>Type I</w:t>
            </w:r>
          </w:p>
        </w:tc>
      </w:tr>
      <w:tr w:rsidR="00D47A49" w:rsidRPr="00FB6C99" w:rsidTr="00D47A49">
        <w:trPr>
          <w:trHeight w:val="255"/>
          <w:jc w:val="center"/>
        </w:trPr>
        <w:tc>
          <w:tcPr>
            <w:tcW w:w="2760" w:type="dxa"/>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rPr>
                <w:color w:val="000000"/>
              </w:rPr>
            </w:pPr>
            <w:r w:rsidRPr="00FB6C99">
              <w:rPr>
                <w:color w:val="000000"/>
              </w:rPr>
              <w:t>BBB Rating</w:t>
            </w:r>
          </w:p>
        </w:tc>
        <w:tc>
          <w:tcPr>
            <w:tcW w:w="1511" w:type="dxa"/>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jc w:val="center"/>
              <w:rPr>
                <w:color w:val="000000"/>
              </w:rPr>
            </w:pPr>
            <w:r w:rsidRPr="00FB6C99">
              <w:rPr>
                <w:color w:val="000000"/>
              </w:rPr>
              <w:t>Type II</w:t>
            </w:r>
          </w:p>
        </w:tc>
        <w:tc>
          <w:tcPr>
            <w:tcW w:w="1489" w:type="dxa"/>
            <w:tcBorders>
              <w:top w:val="nil"/>
              <w:left w:val="nil"/>
              <w:bottom w:val="nil"/>
              <w:right w:val="nil"/>
            </w:tcBorders>
            <w:shd w:val="clear" w:color="auto" w:fill="auto"/>
            <w:noWrap/>
            <w:vAlign w:val="bottom"/>
            <w:hideMark/>
          </w:tcPr>
          <w:p w:rsidR="00D47A49" w:rsidRPr="00FB6C99" w:rsidRDefault="00D47A49" w:rsidP="00D47A49">
            <w:pPr>
              <w:widowControl/>
              <w:autoSpaceDE/>
              <w:autoSpaceDN/>
              <w:adjustRightInd/>
              <w:jc w:val="center"/>
              <w:rPr>
                <w:color w:val="000000"/>
              </w:rPr>
            </w:pPr>
            <w:r w:rsidRPr="00FB6C99">
              <w:rPr>
                <w:color w:val="000000"/>
              </w:rPr>
              <w:t>correct</w:t>
            </w:r>
          </w:p>
        </w:tc>
      </w:tr>
    </w:tbl>
    <w:p w:rsidR="00826A3B" w:rsidRDefault="00826A3B" w:rsidP="00D47A49">
      <w:pPr>
        <w:jc w:val="both"/>
      </w:pPr>
    </w:p>
    <w:p w:rsidR="00F676CC" w:rsidRPr="00FB6C99" w:rsidRDefault="00D47A49" w:rsidP="00D47A49">
      <w:pPr>
        <w:jc w:val="both"/>
      </w:pPr>
      <w:r w:rsidRPr="00FB6C99">
        <w:t xml:space="preserve">The calculated Z values </w:t>
      </w:r>
      <w:r w:rsidR="001D3190">
        <w:t>has</w:t>
      </w:r>
      <w:r w:rsidRPr="00FB6C99">
        <w:t xml:space="preserve"> a range of 0.0224 to 0.4321 with the A rating group having the higher values. The highest score in the BBB group is .1066 and the lowest score in the A group is .0572. The arithmetic average of these two extreme values is 0.0819. Observations with a Z value greater than .0819 are assigned to the A group and observations with a Z value less than .0819 are assigned to the BBB group.</w:t>
      </w:r>
    </w:p>
    <w:p w:rsidR="00D47A49" w:rsidRPr="00FB6C99" w:rsidRDefault="00D47A49" w:rsidP="00E15FE3">
      <w:pPr>
        <w:jc w:val="both"/>
      </w:pPr>
      <w:r w:rsidRPr="00FB6C99">
        <w:t>The classification matrix for the sample is as follows:</w:t>
      </w:r>
    </w:p>
    <w:p w:rsidR="004741D6" w:rsidRPr="004741D6" w:rsidRDefault="004741D6" w:rsidP="004741D6">
      <w:pPr>
        <w:jc w:val="center"/>
      </w:pPr>
      <w:r>
        <w:rPr>
          <w:b/>
          <w:sz w:val="20"/>
          <w:szCs w:val="20"/>
        </w:rPr>
        <w:t>Table 2</w:t>
      </w:r>
    </w:p>
    <w:tbl>
      <w:tblPr>
        <w:tblW w:w="6720" w:type="dxa"/>
        <w:jc w:val="center"/>
        <w:tblInd w:w="99" w:type="dxa"/>
        <w:tblLook w:val="04A0"/>
      </w:tblPr>
      <w:tblGrid>
        <w:gridCol w:w="2820"/>
        <w:gridCol w:w="1950"/>
        <w:gridCol w:w="1950"/>
      </w:tblGrid>
      <w:tr w:rsidR="004741D6" w:rsidRPr="004741D6" w:rsidTr="00E32188">
        <w:trPr>
          <w:trHeight w:val="255"/>
          <w:jc w:val="center"/>
        </w:trPr>
        <w:tc>
          <w:tcPr>
            <w:tcW w:w="2820" w:type="dxa"/>
            <w:tcBorders>
              <w:top w:val="single" w:sz="4" w:space="0" w:color="auto"/>
              <w:left w:val="nil"/>
              <w:bottom w:val="nil"/>
              <w:right w:val="nil"/>
            </w:tcBorders>
            <w:shd w:val="clear" w:color="auto" w:fill="auto"/>
            <w:noWrap/>
            <w:vAlign w:val="bottom"/>
            <w:hideMark/>
          </w:tcPr>
          <w:p w:rsidR="004741D6" w:rsidRPr="004741D6" w:rsidRDefault="004741D6" w:rsidP="00E32188">
            <w:pPr>
              <w:widowControl/>
              <w:autoSpaceDE/>
              <w:autoSpaceDN/>
              <w:adjustRightInd/>
              <w:rPr>
                <w:color w:val="000000"/>
              </w:rPr>
            </w:pPr>
          </w:p>
        </w:tc>
        <w:tc>
          <w:tcPr>
            <w:tcW w:w="3900" w:type="dxa"/>
            <w:gridSpan w:val="2"/>
            <w:tcBorders>
              <w:top w:val="single" w:sz="4" w:space="0" w:color="auto"/>
              <w:left w:val="nil"/>
              <w:bottom w:val="nil"/>
              <w:right w:val="nil"/>
            </w:tcBorders>
            <w:shd w:val="clear" w:color="auto" w:fill="auto"/>
            <w:noWrap/>
            <w:vAlign w:val="bottom"/>
            <w:hideMark/>
          </w:tcPr>
          <w:p w:rsidR="004741D6" w:rsidRPr="004741D6" w:rsidRDefault="004741D6" w:rsidP="00E32188">
            <w:pPr>
              <w:widowControl/>
              <w:autoSpaceDE/>
              <w:autoSpaceDN/>
              <w:adjustRightInd/>
              <w:jc w:val="center"/>
              <w:rPr>
                <w:color w:val="000000"/>
                <w:u w:val="single"/>
              </w:rPr>
            </w:pPr>
            <w:r w:rsidRPr="004741D6">
              <w:rPr>
                <w:color w:val="000000"/>
                <w:u w:val="single"/>
              </w:rPr>
              <w:t xml:space="preserve">Predicted Group Membership  </w:t>
            </w:r>
          </w:p>
        </w:tc>
      </w:tr>
      <w:tr w:rsidR="004741D6" w:rsidRPr="004741D6" w:rsidTr="00E32188">
        <w:trPr>
          <w:trHeight w:val="255"/>
          <w:jc w:val="center"/>
        </w:trPr>
        <w:tc>
          <w:tcPr>
            <w:tcW w:w="2820" w:type="dxa"/>
            <w:tcBorders>
              <w:top w:val="nil"/>
              <w:left w:val="nil"/>
              <w:bottom w:val="nil"/>
              <w:right w:val="nil"/>
            </w:tcBorders>
            <w:shd w:val="clear" w:color="auto" w:fill="auto"/>
            <w:noWrap/>
            <w:vAlign w:val="bottom"/>
            <w:hideMark/>
          </w:tcPr>
          <w:p w:rsidR="004741D6" w:rsidRPr="004741D6" w:rsidRDefault="004741D6" w:rsidP="00E32188">
            <w:pPr>
              <w:widowControl/>
              <w:autoSpaceDE/>
              <w:autoSpaceDN/>
              <w:adjustRightInd/>
              <w:rPr>
                <w:color w:val="000000"/>
                <w:u w:val="single"/>
              </w:rPr>
            </w:pPr>
            <w:r w:rsidRPr="004741D6">
              <w:rPr>
                <w:color w:val="000000"/>
                <w:u w:val="single"/>
              </w:rPr>
              <w:t>Actual Group Membership</w:t>
            </w:r>
          </w:p>
        </w:tc>
        <w:tc>
          <w:tcPr>
            <w:tcW w:w="1950" w:type="dxa"/>
            <w:tcBorders>
              <w:top w:val="nil"/>
              <w:left w:val="nil"/>
              <w:bottom w:val="nil"/>
              <w:right w:val="nil"/>
            </w:tcBorders>
            <w:shd w:val="clear" w:color="auto" w:fill="auto"/>
            <w:noWrap/>
            <w:vAlign w:val="bottom"/>
            <w:hideMark/>
          </w:tcPr>
          <w:p w:rsidR="004741D6" w:rsidRPr="004741D6" w:rsidRDefault="004741D6" w:rsidP="00E32188">
            <w:pPr>
              <w:widowControl/>
              <w:autoSpaceDE/>
              <w:autoSpaceDN/>
              <w:adjustRightInd/>
              <w:jc w:val="center"/>
              <w:rPr>
                <w:color w:val="000000"/>
                <w:u w:val="single"/>
              </w:rPr>
            </w:pPr>
            <w:r w:rsidRPr="004741D6">
              <w:rPr>
                <w:color w:val="000000"/>
                <w:u w:val="single"/>
              </w:rPr>
              <w:t>A Rating</w:t>
            </w:r>
          </w:p>
        </w:tc>
        <w:tc>
          <w:tcPr>
            <w:tcW w:w="1950" w:type="dxa"/>
            <w:tcBorders>
              <w:top w:val="nil"/>
              <w:left w:val="nil"/>
              <w:bottom w:val="nil"/>
              <w:right w:val="nil"/>
            </w:tcBorders>
            <w:shd w:val="clear" w:color="auto" w:fill="auto"/>
            <w:noWrap/>
            <w:vAlign w:val="bottom"/>
            <w:hideMark/>
          </w:tcPr>
          <w:p w:rsidR="004741D6" w:rsidRPr="004741D6" w:rsidRDefault="004741D6" w:rsidP="00E32188">
            <w:pPr>
              <w:widowControl/>
              <w:autoSpaceDE/>
              <w:autoSpaceDN/>
              <w:adjustRightInd/>
              <w:jc w:val="center"/>
              <w:rPr>
                <w:color w:val="000000"/>
                <w:u w:val="single"/>
              </w:rPr>
            </w:pPr>
            <w:r w:rsidRPr="004741D6">
              <w:rPr>
                <w:color w:val="000000"/>
                <w:u w:val="single"/>
              </w:rPr>
              <w:t xml:space="preserve">B Rating </w:t>
            </w:r>
          </w:p>
        </w:tc>
      </w:tr>
      <w:tr w:rsidR="004741D6" w:rsidRPr="004741D6" w:rsidTr="00E32188">
        <w:trPr>
          <w:trHeight w:val="255"/>
          <w:jc w:val="center"/>
        </w:trPr>
        <w:tc>
          <w:tcPr>
            <w:tcW w:w="2820" w:type="dxa"/>
            <w:tcBorders>
              <w:top w:val="nil"/>
              <w:left w:val="nil"/>
              <w:right w:val="nil"/>
            </w:tcBorders>
            <w:shd w:val="clear" w:color="auto" w:fill="auto"/>
            <w:noWrap/>
            <w:vAlign w:val="bottom"/>
            <w:hideMark/>
          </w:tcPr>
          <w:p w:rsidR="004741D6" w:rsidRPr="004741D6" w:rsidRDefault="004741D6" w:rsidP="00E32188">
            <w:pPr>
              <w:widowControl/>
              <w:autoSpaceDE/>
              <w:autoSpaceDN/>
              <w:adjustRightInd/>
              <w:rPr>
                <w:color w:val="000000"/>
              </w:rPr>
            </w:pPr>
            <w:r w:rsidRPr="004741D6">
              <w:rPr>
                <w:color w:val="000000"/>
              </w:rPr>
              <w:t>A Rating</w:t>
            </w:r>
          </w:p>
        </w:tc>
        <w:tc>
          <w:tcPr>
            <w:tcW w:w="1950" w:type="dxa"/>
            <w:tcBorders>
              <w:top w:val="nil"/>
              <w:left w:val="nil"/>
              <w:right w:val="nil"/>
            </w:tcBorders>
            <w:shd w:val="clear" w:color="auto" w:fill="auto"/>
            <w:noWrap/>
            <w:vAlign w:val="bottom"/>
            <w:hideMark/>
          </w:tcPr>
          <w:p w:rsidR="004741D6" w:rsidRPr="004741D6" w:rsidRDefault="004741D6" w:rsidP="00E32188">
            <w:pPr>
              <w:widowControl/>
              <w:autoSpaceDE/>
              <w:autoSpaceDN/>
              <w:adjustRightInd/>
              <w:ind w:right="693"/>
              <w:jc w:val="right"/>
              <w:rPr>
                <w:color w:val="000000"/>
              </w:rPr>
            </w:pPr>
            <w:r w:rsidRPr="004741D6">
              <w:rPr>
                <w:color w:val="000000"/>
              </w:rPr>
              <w:t>11</w:t>
            </w:r>
          </w:p>
        </w:tc>
        <w:tc>
          <w:tcPr>
            <w:tcW w:w="1950" w:type="dxa"/>
            <w:tcBorders>
              <w:top w:val="nil"/>
              <w:left w:val="nil"/>
              <w:right w:val="nil"/>
            </w:tcBorders>
            <w:shd w:val="clear" w:color="auto" w:fill="auto"/>
            <w:noWrap/>
            <w:vAlign w:val="bottom"/>
            <w:hideMark/>
          </w:tcPr>
          <w:p w:rsidR="004741D6" w:rsidRPr="004741D6" w:rsidRDefault="004741D6" w:rsidP="00E32188">
            <w:pPr>
              <w:widowControl/>
              <w:tabs>
                <w:tab w:val="left" w:pos="981"/>
              </w:tabs>
              <w:autoSpaceDE/>
              <w:autoSpaceDN/>
              <w:adjustRightInd/>
              <w:ind w:right="843"/>
              <w:jc w:val="right"/>
              <w:rPr>
                <w:color w:val="000000"/>
              </w:rPr>
            </w:pPr>
            <w:r w:rsidRPr="004741D6">
              <w:rPr>
                <w:color w:val="000000"/>
              </w:rPr>
              <w:t>2</w:t>
            </w:r>
          </w:p>
        </w:tc>
      </w:tr>
      <w:tr w:rsidR="004741D6" w:rsidRPr="004741D6" w:rsidTr="00E32188">
        <w:trPr>
          <w:trHeight w:val="255"/>
          <w:jc w:val="center"/>
        </w:trPr>
        <w:tc>
          <w:tcPr>
            <w:tcW w:w="2820" w:type="dxa"/>
            <w:tcBorders>
              <w:top w:val="nil"/>
              <w:left w:val="nil"/>
              <w:bottom w:val="single" w:sz="4" w:space="0" w:color="auto"/>
              <w:right w:val="nil"/>
            </w:tcBorders>
            <w:shd w:val="clear" w:color="auto" w:fill="auto"/>
            <w:noWrap/>
            <w:vAlign w:val="bottom"/>
            <w:hideMark/>
          </w:tcPr>
          <w:p w:rsidR="004741D6" w:rsidRPr="004741D6" w:rsidRDefault="004741D6" w:rsidP="00E32188">
            <w:pPr>
              <w:widowControl/>
              <w:autoSpaceDE/>
              <w:autoSpaceDN/>
              <w:adjustRightInd/>
              <w:rPr>
                <w:color w:val="000000"/>
              </w:rPr>
            </w:pPr>
            <w:r w:rsidRPr="004741D6">
              <w:rPr>
                <w:color w:val="000000"/>
              </w:rPr>
              <w:t>BBB Rating</w:t>
            </w:r>
          </w:p>
        </w:tc>
        <w:tc>
          <w:tcPr>
            <w:tcW w:w="1950" w:type="dxa"/>
            <w:tcBorders>
              <w:top w:val="nil"/>
              <w:left w:val="nil"/>
              <w:bottom w:val="single" w:sz="4" w:space="0" w:color="auto"/>
              <w:right w:val="nil"/>
            </w:tcBorders>
            <w:shd w:val="clear" w:color="auto" w:fill="auto"/>
            <w:noWrap/>
            <w:vAlign w:val="bottom"/>
            <w:hideMark/>
          </w:tcPr>
          <w:p w:rsidR="004741D6" w:rsidRPr="004741D6" w:rsidRDefault="004741D6" w:rsidP="00E32188">
            <w:pPr>
              <w:widowControl/>
              <w:autoSpaceDE/>
              <w:autoSpaceDN/>
              <w:adjustRightInd/>
              <w:ind w:right="693"/>
              <w:jc w:val="right"/>
              <w:rPr>
                <w:color w:val="000000"/>
              </w:rPr>
            </w:pPr>
            <w:r w:rsidRPr="004741D6">
              <w:rPr>
                <w:color w:val="000000"/>
              </w:rPr>
              <w:t>1</w:t>
            </w:r>
          </w:p>
        </w:tc>
        <w:tc>
          <w:tcPr>
            <w:tcW w:w="1950" w:type="dxa"/>
            <w:tcBorders>
              <w:top w:val="nil"/>
              <w:left w:val="nil"/>
              <w:bottom w:val="single" w:sz="4" w:space="0" w:color="auto"/>
              <w:right w:val="nil"/>
            </w:tcBorders>
            <w:shd w:val="clear" w:color="auto" w:fill="auto"/>
            <w:noWrap/>
            <w:vAlign w:val="bottom"/>
            <w:hideMark/>
          </w:tcPr>
          <w:p w:rsidR="004741D6" w:rsidRPr="004741D6" w:rsidRDefault="004741D6" w:rsidP="00E32188">
            <w:pPr>
              <w:widowControl/>
              <w:tabs>
                <w:tab w:val="left" w:pos="981"/>
              </w:tabs>
              <w:autoSpaceDE/>
              <w:autoSpaceDN/>
              <w:adjustRightInd/>
              <w:ind w:right="843"/>
              <w:jc w:val="right"/>
              <w:rPr>
                <w:color w:val="000000"/>
              </w:rPr>
            </w:pPr>
            <w:r w:rsidRPr="004741D6">
              <w:rPr>
                <w:color w:val="000000"/>
              </w:rPr>
              <w:t>12</w:t>
            </w:r>
          </w:p>
        </w:tc>
      </w:tr>
    </w:tbl>
    <w:p w:rsidR="0074788C" w:rsidRPr="00FB6C99" w:rsidRDefault="00700B35" w:rsidP="00700B35">
      <w:pPr>
        <w:jc w:val="center"/>
      </w:pPr>
      <w:r w:rsidRPr="00FB6C99">
        <w:rPr>
          <w:b/>
        </w:rPr>
        <w:t xml:space="preserve">Table </w:t>
      </w:r>
      <w:r w:rsidR="004741D6">
        <w:rPr>
          <w:b/>
        </w:rPr>
        <w:t>3</w:t>
      </w:r>
    </w:p>
    <w:tbl>
      <w:tblPr>
        <w:tblW w:w="4631" w:type="dxa"/>
        <w:jc w:val="center"/>
        <w:tblInd w:w="99" w:type="dxa"/>
        <w:tblLook w:val="04A0"/>
      </w:tblPr>
      <w:tblGrid>
        <w:gridCol w:w="1121"/>
        <w:gridCol w:w="1170"/>
        <w:gridCol w:w="1170"/>
        <w:gridCol w:w="1170"/>
      </w:tblGrid>
      <w:tr w:rsidR="00700B35" w:rsidRPr="00FB6C99" w:rsidTr="00700B35">
        <w:trPr>
          <w:trHeight w:val="255"/>
          <w:jc w:val="center"/>
        </w:trPr>
        <w:tc>
          <w:tcPr>
            <w:tcW w:w="1121" w:type="dxa"/>
            <w:tcBorders>
              <w:top w:val="single" w:sz="4" w:space="0" w:color="auto"/>
              <w:left w:val="nil"/>
              <w:bottom w:val="nil"/>
              <w:right w:val="nil"/>
            </w:tcBorders>
            <w:shd w:val="clear" w:color="auto" w:fill="auto"/>
            <w:noWrap/>
            <w:vAlign w:val="bottom"/>
            <w:hideMark/>
          </w:tcPr>
          <w:p w:rsidR="00700B35" w:rsidRPr="00FB6C99" w:rsidRDefault="00700B35" w:rsidP="00700B35">
            <w:pPr>
              <w:widowControl/>
              <w:autoSpaceDE/>
              <w:autoSpaceDN/>
              <w:adjustRightInd/>
              <w:jc w:val="center"/>
              <w:rPr>
                <w:color w:val="000000"/>
                <w:u w:val="single"/>
              </w:rPr>
            </w:pPr>
            <w:r w:rsidRPr="00FB6C99">
              <w:rPr>
                <w:color w:val="000000"/>
                <w:u w:val="single"/>
              </w:rPr>
              <w:t>error</w:t>
            </w:r>
          </w:p>
        </w:tc>
        <w:tc>
          <w:tcPr>
            <w:tcW w:w="1170" w:type="dxa"/>
            <w:tcBorders>
              <w:top w:val="single" w:sz="4" w:space="0" w:color="auto"/>
              <w:left w:val="nil"/>
              <w:bottom w:val="nil"/>
              <w:right w:val="nil"/>
            </w:tcBorders>
            <w:shd w:val="clear" w:color="auto" w:fill="auto"/>
            <w:noWrap/>
            <w:vAlign w:val="bottom"/>
            <w:hideMark/>
          </w:tcPr>
          <w:p w:rsidR="00700B35" w:rsidRPr="00FB6C99" w:rsidRDefault="00700B35" w:rsidP="00700B35">
            <w:pPr>
              <w:widowControl/>
              <w:autoSpaceDE/>
              <w:autoSpaceDN/>
              <w:adjustRightInd/>
              <w:jc w:val="center"/>
              <w:rPr>
                <w:color w:val="000000"/>
                <w:u w:val="single"/>
              </w:rPr>
            </w:pPr>
            <w:r w:rsidRPr="00FB6C99">
              <w:rPr>
                <w:color w:val="000000"/>
                <w:u w:val="single"/>
              </w:rPr>
              <w:t># correct</w:t>
            </w:r>
          </w:p>
        </w:tc>
        <w:tc>
          <w:tcPr>
            <w:tcW w:w="1170" w:type="dxa"/>
            <w:tcBorders>
              <w:top w:val="single" w:sz="4" w:space="0" w:color="auto"/>
              <w:left w:val="nil"/>
              <w:bottom w:val="nil"/>
              <w:right w:val="nil"/>
            </w:tcBorders>
            <w:shd w:val="clear" w:color="auto" w:fill="auto"/>
            <w:noWrap/>
            <w:vAlign w:val="bottom"/>
            <w:hideMark/>
          </w:tcPr>
          <w:p w:rsidR="00700B35" w:rsidRPr="00FB6C99" w:rsidRDefault="00700B35" w:rsidP="00700B35">
            <w:pPr>
              <w:widowControl/>
              <w:autoSpaceDE/>
              <w:autoSpaceDN/>
              <w:adjustRightInd/>
              <w:jc w:val="center"/>
              <w:rPr>
                <w:color w:val="000000"/>
                <w:u w:val="single"/>
              </w:rPr>
            </w:pPr>
            <w:r w:rsidRPr="00FB6C99">
              <w:rPr>
                <w:color w:val="000000"/>
                <w:u w:val="single"/>
              </w:rPr>
              <w:t>% correct</w:t>
            </w:r>
          </w:p>
        </w:tc>
        <w:tc>
          <w:tcPr>
            <w:tcW w:w="1170" w:type="dxa"/>
            <w:tcBorders>
              <w:top w:val="single" w:sz="4" w:space="0" w:color="auto"/>
              <w:left w:val="nil"/>
              <w:bottom w:val="nil"/>
              <w:right w:val="nil"/>
            </w:tcBorders>
            <w:shd w:val="clear" w:color="auto" w:fill="auto"/>
            <w:noWrap/>
            <w:vAlign w:val="bottom"/>
            <w:hideMark/>
          </w:tcPr>
          <w:p w:rsidR="00700B35" w:rsidRPr="00FB6C99" w:rsidRDefault="00700B35" w:rsidP="00700B35">
            <w:pPr>
              <w:widowControl/>
              <w:autoSpaceDE/>
              <w:autoSpaceDN/>
              <w:adjustRightInd/>
              <w:jc w:val="center"/>
              <w:rPr>
                <w:color w:val="000000"/>
                <w:u w:val="single"/>
              </w:rPr>
            </w:pPr>
            <w:r w:rsidRPr="00FB6C99">
              <w:rPr>
                <w:color w:val="000000"/>
                <w:u w:val="single"/>
              </w:rPr>
              <w:t>% error</w:t>
            </w:r>
          </w:p>
        </w:tc>
      </w:tr>
      <w:tr w:rsidR="00700B35" w:rsidRPr="00FB6C99" w:rsidTr="00700B35">
        <w:trPr>
          <w:trHeight w:val="255"/>
          <w:jc w:val="center"/>
        </w:trPr>
        <w:tc>
          <w:tcPr>
            <w:tcW w:w="1121" w:type="dxa"/>
            <w:tcBorders>
              <w:top w:val="nil"/>
              <w:left w:val="nil"/>
              <w:right w:val="nil"/>
            </w:tcBorders>
            <w:shd w:val="clear" w:color="auto" w:fill="auto"/>
            <w:noWrap/>
            <w:vAlign w:val="bottom"/>
            <w:hideMark/>
          </w:tcPr>
          <w:p w:rsidR="00700B35" w:rsidRPr="00FB6C99" w:rsidRDefault="00700B35" w:rsidP="00700B35">
            <w:pPr>
              <w:widowControl/>
              <w:autoSpaceDE/>
              <w:autoSpaceDN/>
              <w:adjustRightInd/>
              <w:rPr>
                <w:color w:val="000000"/>
              </w:rPr>
            </w:pPr>
            <w:r w:rsidRPr="00FB6C99">
              <w:rPr>
                <w:color w:val="000000"/>
              </w:rPr>
              <w:t>Type I</w:t>
            </w:r>
          </w:p>
        </w:tc>
        <w:tc>
          <w:tcPr>
            <w:tcW w:w="1170" w:type="dxa"/>
            <w:tcBorders>
              <w:top w:val="nil"/>
              <w:left w:val="nil"/>
              <w:right w:val="nil"/>
            </w:tcBorders>
            <w:shd w:val="clear" w:color="auto" w:fill="auto"/>
            <w:noWrap/>
            <w:vAlign w:val="bottom"/>
            <w:hideMark/>
          </w:tcPr>
          <w:p w:rsidR="00700B35" w:rsidRPr="00FB6C99" w:rsidRDefault="00700B35" w:rsidP="00700B35">
            <w:pPr>
              <w:widowControl/>
              <w:autoSpaceDE/>
              <w:autoSpaceDN/>
              <w:adjustRightInd/>
              <w:ind w:right="134"/>
              <w:jc w:val="center"/>
              <w:rPr>
                <w:color w:val="000000"/>
              </w:rPr>
            </w:pPr>
            <w:r w:rsidRPr="00FB6C99">
              <w:rPr>
                <w:color w:val="000000"/>
              </w:rPr>
              <w:t>11</w:t>
            </w:r>
          </w:p>
        </w:tc>
        <w:tc>
          <w:tcPr>
            <w:tcW w:w="1170" w:type="dxa"/>
            <w:tcBorders>
              <w:top w:val="nil"/>
              <w:left w:val="nil"/>
              <w:right w:val="nil"/>
            </w:tcBorders>
            <w:shd w:val="clear" w:color="auto" w:fill="auto"/>
            <w:noWrap/>
            <w:vAlign w:val="bottom"/>
            <w:hideMark/>
          </w:tcPr>
          <w:p w:rsidR="00700B35" w:rsidRPr="00FB6C99" w:rsidRDefault="00700B35" w:rsidP="00700B35">
            <w:pPr>
              <w:widowControl/>
              <w:autoSpaceDE/>
              <w:autoSpaceDN/>
              <w:adjustRightInd/>
              <w:jc w:val="center"/>
              <w:rPr>
                <w:color w:val="000000"/>
              </w:rPr>
            </w:pPr>
            <w:r w:rsidRPr="00FB6C99">
              <w:rPr>
                <w:color w:val="000000"/>
              </w:rPr>
              <w:t>85%</w:t>
            </w:r>
          </w:p>
        </w:tc>
        <w:tc>
          <w:tcPr>
            <w:tcW w:w="1170" w:type="dxa"/>
            <w:tcBorders>
              <w:top w:val="nil"/>
              <w:left w:val="nil"/>
              <w:right w:val="nil"/>
            </w:tcBorders>
            <w:shd w:val="clear" w:color="auto" w:fill="auto"/>
            <w:noWrap/>
            <w:vAlign w:val="bottom"/>
            <w:hideMark/>
          </w:tcPr>
          <w:p w:rsidR="00700B35" w:rsidRPr="00FB6C99" w:rsidRDefault="00700B35" w:rsidP="00700B35">
            <w:pPr>
              <w:widowControl/>
              <w:autoSpaceDE/>
              <w:autoSpaceDN/>
              <w:adjustRightInd/>
              <w:ind w:right="134"/>
              <w:jc w:val="right"/>
              <w:rPr>
                <w:color w:val="000000"/>
              </w:rPr>
            </w:pPr>
            <w:r w:rsidRPr="00FB6C99">
              <w:rPr>
                <w:color w:val="000000"/>
              </w:rPr>
              <w:t>15%</w:t>
            </w:r>
          </w:p>
        </w:tc>
      </w:tr>
      <w:tr w:rsidR="00700B35" w:rsidRPr="00FB6C99" w:rsidTr="00700B35">
        <w:trPr>
          <w:trHeight w:val="255"/>
          <w:jc w:val="center"/>
        </w:trPr>
        <w:tc>
          <w:tcPr>
            <w:tcW w:w="1121" w:type="dxa"/>
            <w:tcBorders>
              <w:top w:val="nil"/>
              <w:left w:val="nil"/>
              <w:bottom w:val="single" w:sz="4" w:space="0" w:color="auto"/>
              <w:right w:val="nil"/>
            </w:tcBorders>
            <w:shd w:val="clear" w:color="auto" w:fill="auto"/>
            <w:noWrap/>
            <w:vAlign w:val="bottom"/>
            <w:hideMark/>
          </w:tcPr>
          <w:p w:rsidR="00700B35" w:rsidRPr="00FB6C99" w:rsidRDefault="00700B35" w:rsidP="00700B35">
            <w:pPr>
              <w:widowControl/>
              <w:autoSpaceDE/>
              <w:autoSpaceDN/>
              <w:adjustRightInd/>
              <w:rPr>
                <w:color w:val="000000"/>
              </w:rPr>
            </w:pPr>
            <w:r w:rsidRPr="00FB6C99">
              <w:rPr>
                <w:color w:val="000000"/>
              </w:rPr>
              <w:t>Type II</w:t>
            </w:r>
          </w:p>
        </w:tc>
        <w:tc>
          <w:tcPr>
            <w:tcW w:w="1170" w:type="dxa"/>
            <w:tcBorders>
              <w:top w:val="nil"/>
              <w:left w:val="nil"/>
              <w:bottom w:val="single" w:sz="4" w:space="0" w:color="auto"/>
              <w:right w:val="nil"/>
            </w:tcBorders>
            <w:shd w:val="clear" w:color="auto" w:fill="auto"/>
            <w:noWrap/>
            <w:vAlign w:val="bottom"/>
            <w:hideMark/>
          </w:tcPr>
          <w:p w:rsidR="00700B35" w:rsidRPr="00FB6C99" w:rsidRDefault="00700B35" w:rsidP="00700B35">
            <w:pPr>
              <w:widowControl/>
              <w:autoSpaceDE/>
              <w:autoSpaceDN/>
              <w:adjustRightInd/>
              <w:ind w:right="134"/>
              <w:jc w:val="center"/>
              <w:rPr>
                <w:color w:val="000000"/>
              </w:rPr>
            </w:pPr>
            <w:r w:rsidRPr="00FB6C99">
              <w:rPr>
                <w:color w:val="000000"/>
              </w:rPr>
              <w:t>12</w:t>
            </w:r>
          </w:p>
        </w:tc>
        <w:tc>
          <w:tcPr>
            <w:tcW w:w="1170" w:type="dxa"/>
            <w:tcBorders>
              <w:top w:val="nil"/>
              <w:left w:val="nil"/>
              <w:bottom w:val="single" w:sz="4" w:space="0" w:color="auto"/>
              <w:right w:val="nil"/>
            </w:tcBorders>
            <w:shd w:val="clear" w:color="auto" w:fill="auto"/>
            <w:noWrap/>
            <w:vAlign w:val="bottom"/>
            <w:hideMark/>
          </w:tcPr>
          <w:p w:rsidR="00700B35" w:rsidRPr="00FB6C99" w:rsidRDefault="00700B35" w:rsidP="00700B35">
            <w:pPr>
              <w:widowControl/>
              <w:autoSpaceDE/>
              <w:autoSpaceDN/>
              <w:adjustRightInd/>
              <w:jc w:val="center"/>
              <w:rPr>
                <w:color w:val="000000"/>
              </w:rPr>
            </w:pPr>
            <w:r w:rsidRPr="00FB6C99">
              <w:rPr>
                <w:color w:val="000000"/>
              </w:rPr>
              <w:t>92%</w:t>
            </w:r>
          </w:p>
        </w:tc>
        <w:tc>
          <w:tcPr>
            <w:tcW w:w="1170" w:type="dxa"/>
            <w:tcBorders>
              <w:top w:val="nil"/>
              <w:left w:val="nil"/>
              <w:bottom w:val="single" w:sz="4" w:space="0" w:color="auto"/>
              <w:right w:val="nil"/>
            </w:tcBorders>
            <w:shd w:val="clear" w:color="auto" w:fill="auto"/>
            <w:noWrap/>
            <w:vAlign w:val="bottom"/>
            <w:hideMark/>
          </w:tcPr>
          <w:p w:rsidR="00700B35" w:rsidRPr="00FB6C99" w:rsidRDefault="00700B35" w:rsidP="00700B35">
            <w:pPr>
              <w:widowControl/>
              <w:autoSpaceDE/>
              <w:autoSpaceDN/>
              <w:adjustRightInd/>
              <w:ind w:right="134"/>
              <w:jc w:val="right"/>
              <w:rPr>
                <w:color w:val="000000"/>
              </w:rPr>
            </w:pPr>
            <w:r w:rsidRPr="00FB6C99">
              <w:rPr>
                <w:color w:val="000000"/>
              </w:rPr>
              <w:t>8%</w:t>
            </w:r>
          </w:p>
        </w:tc>
      </w:tr>
      <w:tr w:rsidR="00700B35" w:rsidRPr="00FB6C99" w:rsidTr="00700B35">
        <w:trPr>
          <w:trHeight w:val="255"/>
          <w:jc w:val="center"/>
        </w:trPr>
        <w:tc>
          <w:tcPr>
            <w:tcW w:w="1121" w:type="dxa"/>
            <w:tcBorders>
              <w:top w:val="single" w:sz="4" w:space="0" w:color="auto"/>
              <w:left w:val="nil"/>
              <w:bottom w:val="single" w:sz="4" w:space="0" w:color="auto"/>
              <w:right w:val="nil"/>
            </w:tcBorders>
            <w:shd w:val="clear" w:color="auto" w:fill="auto"/>
            <w:noWrap/>
            <w:vAlign w:val="bottom"/>
            <w:hideMark/>
          </w:tcPr>
          <w:p w:rsidR="00700B35" w:rsidRPr="00FB6C99" w:rsidRDefault="00700B35" w:rsidP="00700B35">
            <w:pPr>
              <w:widowControl/>
              <w:autoSpaceDE/>
              <w:autoSpaceDN/>
              <w:adjustRightInd/>
              <w:rPr>
                <w:color w:val="000000"/>
              </w:rPr>
            </w:pPr>
            <w:r w:rsidRPr="00FB6C99">
              <w:rPr>
                <w:color w:val="000000"/>
              </w:rPr>
              <w:t>TOTAL</w:t>
            </w:r>
          </w:p>
        </w:tc>
        <w:tc>
          <w:tcPr>
            <w:tcW w:w="1170" w:type="dxa"/>
            <w:tcBorders>
              <w:top w:val="single" w:sz="4" w:space="0" w:color="auto"/>
              <w:left w:val="nil"/>
              <w:bottom w:val="single" w:sz="4" w:space="0" w:color="auto"/>
              <w:right w:val="nil"/>
            </w:tcBorders>
            <w:shd w:val="clear" w:color="auto" w:fill="auto"/>
            <w:noWrap/>
            <w:vAlign w:val="bottom"/>
            <w:hideMark/>
          </w:tcPr>
          <w:p w:rsidR="00700B35" w:rsidRPr="00FB6C99" w:rsidRDefault="00700B35" w:rsidP="00700B35">
            <w:pPr>
              <w:widowControl/>
              <w:autoSpaceDE/>
              <w:autoSpaceDN/>
              <w:adjustRightInd/>
              <w:ind w:right="134"/>
              <w:jc w:val="center"/>
              <w:rPr>
                <w:color w:val="000000"/>
              </w:rPr>
            </w:pPr>
            <w:r w:rsidRPr="00FB6C99">
              <w:rPr>
                <w:color w:val="000000"/>
              </w:rPr>
              <w:t>23</w:t>
            </w:r>
          </w:p>
        </w:tc>
        <w:tc>
          <w:tcPr>
            <w:tcW w:w="1170" w:type="dxa"/>
            <w:tcBorders>
              <w:top w:val="single" w:sz="4" w:space="0" w:color="auto"/>
              <w:left w:val="nil"/>
              <w:bottom w:val="single" w:sz="4" w:space="0" w:color="auto"/>
              <w:right w:val="nil"/>
            </w:tcBorders>
            <w:shd w:val="clear" w:color="auto" w:fill="auto"/>
            <w:noWrap/>
            <w:vAlign w:val="bottom"/>
            <w:hideMark/>
          </w:tcPr>
          <w:p w:rsidR="00700B35" w:rsidRPr="00FB6C99" w:rsidRDefault="00700B35" w:rsidP="00700B35">
            <w:pPr>
              <w:widowControl/>
              <w:autoSpaceDE/>
              <w:autoSpaceDN/>
              <w:adjustRightInd/>
              <w:jc w:val="center"/>
              <w:rPr>
                <w:color w:val="000000"/>
              </w:rPr>
            </w:pPr>
            <w:r w:rsidRPr="00FB6C99">
              <w:rPr>
                <w:color w:val="000000"/>
              </w:rPr>
              <w:t>88%</w:t>
            </w:r>
          </w:p>
        </w:tc>
        <w:tc>
          <w:tcPr>
            <w:tcW w:w="1170" w:type="dxa"/>
            <w:tcBorders>
              <w:top w:val="single" w:sz="4" w:space="0" w:color="auto"/>
              <w:left w:val="nil"/>
              <w:bottom w:val="single" w:sz="4" w:space="0" w:color="auto"/>
              <w:right w:val="nil"/>
            </w:tcBorders>
            <w:shd w:val="clear" w:color="auto" w:fill="auto"/>
            <w:noWrap/>
            <w:vAlign w:val="bottom"/>
            <w:hideMark/>
          </w:tcPr>
          <w:p w:rsidR="00700B35" w:rsidRPr="00FB6C99" w:rsidRDefault="00700B35" w:rsidP="00700B35">
            <w:pPr>
              <w:widowControl/>
              <w:autoSpaceDE/>
              <w:autoSpaceDN/>
              <w:adjustRightInd/>
              <w:ind w:right="134"/>
              <w:jc w:val="right"/>
              <w:rPr>
                <w:color w:val="000000"/>
              </w:rPr>
            </w:pPr>
            <w:r w:rsidRPr="00FB6C99">
              <w:rPr>
                <w:color w:val="000000"/>
              </w:rPr>
              <w:t>12%</w:t>
            </w:r>
          </w:p>
        </w:tc>
      </w:tr>
    </w:tbl>
    <w:p w:rsidR="002F4D3C" w:rsidRDefault="00700B35" w:rsidP="00700B35">
      <w:pPr>
        <w:tabs>
          <w:tab w:val="left" w:pos="204"/>
        </w:tabs>
        <w:jc w:val="both"/>
      </w:pPr>
      <w:r w:rsidRPr="00FB6C99">
        <w:t xml:space="preserve">Based on the above, the model is highly accurate in assigning observations to the correct a priori grouping. Type I error proved to be 15% and Type II error an even more impressive 8%. The overall accuracy of the model is 88%. </w:t>
      </w:r>
    </w:p>
    <w:p w:rsidR="00CD2A28" w:rsidRPr="00FB6C99" w:rsidRDefault="00CD2A28" w:rsidP="00700B35">
      <w:pPr>
        <w:tabs>
          <w:tab w:val="left" w:pos="204"/>
        </w:tabs>
        <w:jc w:val="both"/>
      </w:pPr>
    </w:p>
    <w:p w:rsidR="00700B35" w:rsidRPr="00FB6C99" w:rsidRDefault="0017616D" w:rsidP="0017616D">
      <w:pPr>
        <w:tabs>
          <w:tab w:val="left" w:pos="204"/>
        </w:tabs>
        <w:jc w:val="center"/>
        <w:rPr>
          <w:b/>
        </w:rPr>
      </w:pPr>
      <w:r w:rsidRPr="00FB6C99">
        <w:rPr>
          <w:b/>
        </w:rPr>
        <w:t>CONCLUSION</w:t>
      </w:r>
    </w:p>
    <w:p w:rsidR="00700B35" w:rsidRPr="00FB6C99" w:rsidRDefault="00700B35" w:rsidP="00700B35">
      <w:pPr>
        <w:tabs>
          <w:tab w:val="left" w:pos="204"/>
        </w:tabs>
        <w:jc w:val="both"/>
      </w:pPr>
    </w:p>
    <w:p w:rsidR="00F83B81" w:rsidRPr="00FB6C99" w:rsidRDefault="006025EC" w:rsidP="00AB0EFE">
      <w:pPr>
        <w:tabs>
          <w:tab w:val="left" w:pos="204"/>
        </w:tabs>
        <w:jc w:val="both"/>
        <w:rPr>
          <w:b/>
        </w:rPr>
      </w:pPr>
      <w:r>
        <w:t>The MDA</w:t>
      </w:r>
      <w:r w:rsidR="00700B35" w:rsidRPr="00FB6C99">
        <w:t xml:space="preserve"> model developed is characterized by its ease of calculation because of the use of only two variables, yet proved highly accurate in predicting the correct bond rating of 88% of the firms in the initial sample. The study indicates that ratios used in either univariate or multivariate analysis should be uniquely tailored to the specific characteristics of the industry under study. </w:t>
      </w:r>
    </w:p>
    <w:sectPr w:rsidR="00F83B81" w:rsidRPr="00FB6C99" w:rsidSect="0017616D">
      <w:pgSz w:w="12240" w:h="15840"/>
      <w:pgMar w:top="1080" w:right="1080" w:bottom="1440" w:left="108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3421"/>
    <w:multiLevelType w:val="hybridMultilevel"/>
    <w:tmpl w:val="82600A10"/>
    <w:lvl w:ilvl="0" w:tplc="C5E0C7FC">
      <w:start w:val="1"/>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start w:val="1"/>
      <w:numFmt w:val="lowerRoman"/>
      <w:lvlText w:val="%3."/>
      <w:lvlJc w:val="right"/>
      <w:pPr>
        <w:tabs>
          <w:tab w:val="num" w:pos="1801"/>
        </w:tabs>
        <w:ind w:left="1801" w:hanging="180"/>
      </w:pPr>
    </w:lvl>
    <w:lvl w:ilvl="3" w:tplc="0409000F">
      <w:start w:val="1"/>
      <w:numFmt w:val="decimal"/>
      <w:lvlText w:val="%4."/>
      <w:lvlJc w:val="left"/>
      <w:pPr>
        <w:tabs>
          <w:tab w:val="num" w:pos="2521"/>
        </w:tabs>
        <w:ind w:left="2521" w:hanging="360"/>
      </w:pPr>
    </w:lvl>
    <w:lvl w:ilvl="4" w:tplc="04090019">
      <w:start w:val="1"/>
      <w:numFmt w:val="lowerLetter"/>
      <w:lvlText w:val="%5."/>
      <w:lvlJc w:val="left"/>
      <w:pPr>
        <w:tabs>
          <w:tab w:val="num" w:pos="3241"/>
        </w:tabs>
        <w:ind w:left="3241" w:hanging="360"/>
      </w:pPr>
    </w:lvl>
    <w:lvl w:ilvl="5" w:tplc="0409001B">
      <w:start w:val="1"/>
      <w:numFmt w:val="lowerRoman"/>
      <w:lvlText w:val="%6."/>
      <w:lvlJc w:val="right"/>
      <w:pPr>
        <w:tabs>
          <w:tab w:val="num" w:pos="3961"/>
        </w:tabs>
        <w:ind w:left="3961" w:hanging="180"/>
      </w:pPr>
    </w:lvl>
    <w:lvl w:ilvl="6" w:tplc="0409000F">
      <w:start w:val="1"/>
      <w:numFmt w:val="decimal"/>
      <w:lvlText w:val="%7."/>
      <w:lvlJc w:val="left"/>
      <w:pPr>
        <w:tabs>
          <w:tab w:val="num" w:pos="4681"/>
        </w:tabs>
        <w:ind w:left="4681" w:hanging="360"/>
      </w:pPr>
    </w:lvl>
    <w:lvl w:ilvl="7" w:tplc="04090019">
      <w:start w:val="1"/>
      <w:numFmt w:val="lowerLetter"/>
      <w:lvlText w:val="%8."/>
      <w:lvlJc w:val="left"/>
      <w:pPr>
        <w:tabs>
          <w:tab w:val="num" w:pos="5401"/>
        </w:tabs>
        <w:ind w:left="5401" w:hanging="360"/>
      </w:pPr>
    </w:lvl>
    <w:lvl w:ilvl="8" w:tplc="0409001B">
      <w:start w:val="1"/>
      <w:numFmt w:val="lowerRoman"/>
      <w:lvlText w:val="%9."/>
      <w:lvlJc w:val="right"/>
      <w:pPr>
        <w:tabs>
          <w:tab w:val="num" w:pos="6121"/>
        </w:tabs>
        <w:ind w:left="6121" w:hanging="180"/>
      </w:pPr>
    </w:lvl>
  </w:abstractNum>
  <w:abstractNum w:abstractNumId="1">
    <w:nsid w:val="284A527E"/>
    <w:multiLevelType w:val="hybridMultilevel"/>
    <w:tmpl w:val="03D2E1EC"/>
    <w:lvl w:ilvl="0" w:tplc="04090007">
      <w:start w:val="1"/>
      <w:numFmt w:val="bullet"/>
      <w:lvlText w:val=""/>
      <w:lvlJc w:val="left"/>
      <w:pPr>
        <w:tabs>
          <w:tab w:val="num" w:pos="1151"/>
        </w:tabs>
        <w:ind w:left="1151" w:hanging="360"/>
      </w:pPr>
      <w:rPr>
        <w:rFonts w:ascii="Wingdings" w:hAnsi="Wingdings" w:hint="default"/>
        <w:sz w:val="16"/>
      </w:rPr>
    </w:lvl>
    <w:lvl w:ilvl="1" w:tplc="04090003" w:tentative="1">
      <w:start w:val="1"/>
      <w:numFmt w:val="bullet"/>
      <w:lvlText w:val="o"/>
      <w:lvlJc w:val="left"/>
      <w:pPr>
        <w:tabs>
          <w:tab w:val="num" w:pos="1871"/>
        </w:tabs>
        <w:ind w:left="1871" w:hanging="360"/>
      </w:pPr>
      <w:rPr>
        <w:rFonts w:ascii="Courier New" w:hAnsi="Courier New" w:cs="Courier New"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cs="Courier New"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cs="Courier New"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2">
    <w:nsid w:val="356B140A"/>
    <w:multiLevelType w:val="hybridMultilevel"/>
    <w:tmpl w:val="FF865A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A44B05"/>
    <w:multiLevelType w:val="hybridMultilevel"/>
    <w:tmpl w:val="08865CAE"/>
    <w:lvl w:ilvl="0" w:tplc="61E4BC30">
      <w:start w:val="10"/>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start w:val="1"/>
      <w:numFmt w:val="lowerRoman"/>
      <w:lvlText w:val="%3."/>
      <w:lvlJc w:val="right"/>
      <w:pPr>
        <w:tabs>
          <w:tab w:val="num" w:pos="1801"/>
        </w:tabs>
        <w:ind w:left="1801" w:hanging="180"/>
      </w:pPr>
    </w:lvl>
    <w:lvl w:ilvl="3" w:tplc="0409000F">
      <w:start w:val="1"/>
      <w:numFmt w:val="decimal"/>
      <w:lvlText w:val="%4."/>
      <w:lvlJc w:val="left"/>
      <w:pPr>
        <w:tabs>
          <w:tab w:val="num" w:pos="2521"/>
        </w:tabs>
        <w:ind w:left="2521" w:hanging="360"/>
      </w:pPr>
    </w:lvl>
    <w:lvl w:ilvl="4" w:tplc="04090019">
      <w:start w:val="1"/>
      <w:numFmt w:val="lowerLetter"/>
      <w:lvlText w:val="%5."/>
      <w:lvlJc w:val="left"/>
      <w:pPr>
        <w:tabs>
          <w:tab w:val="num" w:pos="3241"/>
        </w:tabs>
        <w:ind w:left="3241" w:hanging="360"/>
      </w:pPr>
    </w:lvl>
    <w:lvl w:ilvl="5" w:tplc="0409001B">
      <w:start w:val="1"/>
      <w:numFmt w:val="lowerRoman"/>
      <w:lvlText w:val="%6."/>
      <w:lvlJc w:val="right"/>
      <w:pPr>
        <w:tabs>
          <w:tab w:val="num" w:pos="3961"/>
        </w:tabs>
        <w:ind w:left="3961" w:hanging="180"/>
      </w:pPr>
    </w:lvl>
    <w:lvl w:ilvl="6" w:tplc="0409000F">
      <w:start w:val="1"/>
      <w:numFmt w:val="decimal"/>
      <w:lvlText w:val="%7."/>
      <w:lvlJc w:val="left"/>
      <w:pPr>
        <w:tabs>
          <w:tab w:val="num" w:pos="4681"/>
        </w:tabs>
        <w:ind w:left="4681" w:hanging="360"/>
      </w:pPr>
    </w:lvl>
    <w:lvl w:ilvl="7" w:tplc="04090019">
      <w:start w:val="1"/>
      <w:numFmt w:val="lowerLetter"/>
      <w:lvlText w:val="%8."/>
      <w:lvlJc w:val="left"/>
      <w:pPr>
        <w:tabs>
          <w:tab w:val="num" w:pos="5401"/>
        </w:tabs>
        <w:ind w:left="5401" w:hanging="360"/>
      </w:pPr>
    </w:lvl>
    <w:lvl w:ilvl="8" w:tplc="0409001B">
      <w:start w:val="1"/>
      <w:numFmt w:val="lowerRoman"/>
      <w:lvlText w:val="%9."/>
      <w:lvlJc w:val="right"/>
      <w:pPr>
        <w:tabs>
          <w:tab w:val="num" w:pos="6121"/>
        </w:tabs>
        <w:ind w:left="6121" w:hanging="180"/>
      </w:pPr>
    </w:lvl>
  </w:abstractNum>
  <w:abstractNum w:abstractNumId="4">
    <w:nsid w:val="4C813831"/>
    <w:multiLevelType w:val="hybridMultilevel"/>
    <w:tmpl w:val="E968D6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21FFC"/>
    <w:rsid w:val="00001B5B"/>
    <w:rsid w:val="00010753"/>
    <w:rsid w:val="00035A06"/>
    <w:rsid w:val="0006646B"/>
    <w:rsid w:val="00076E2F"/>
    <w:rsid w:val="000B774B"/>
    <w:rsid w:val="000B7E51"/>
    <w:rsid w:val="000D76A0"/>
    <w:rsid w:val="000E0C7E"/>
    <w:rsid w:val="001170DD"/>
    <w:rsid w:val="001236B1"/>
    <w:rsid w:val="00144916"/>
    <w:rsid w:val="00160BEF"/>
    <w:rsid w:val="0017616D"/>
    <w:rsid w:val="001A4383"/>
    <w:rsid w:val="001D3190"/>
    <w:rsid w:val="002342EC"/>
    <w:rsid w:val="002901D6"/>
    <w:rsid w:val="002A3E41"/>
    <w:rsid w:val="002D159F"/>
    <w:rsid w:val="002F124A"/>
    <w:rsid w:val="002F4D3C"/>
    <w:rsid w:val="0035677B"/>
    <w:rsid w:val="003B278E"/>
    <w:rsid w:val="003E0AD1"/>
    <w:rsid w:val="00407C72"/>
    <w:rsid w:val="004131B1"/>
    <w:rsid w:val="004741D6"/>
    <w:rsid w:val="004C2026"/>
    <w:rsid w:val="004F0765"/>
    <w:rsid w:val="00500B84"/>
    <w:rsid w:val="00514401"/>
    <w:rsid w:val="0052156D"/>
    <w:rsid w:val="0053515F"/>
    <w:rsid w:val="00541DC3"/>
    <w:rsid w:val="00555231"/>
    <w:rsid w:val="0056025A"/>
    <w:rsid w:val="0058221A"/>
    <w:rsid w:val="00593DB5"/>
    <w:rsid w:val="005B504B"/>
    <w:rsid w:val="005D1D2C"/>
    <w:rsid w:val="006025EC"/>
    <w:rsid w:val="006164D6"/>
    <w:rsid w:val="00634E6D"/>
    <w:rsid w:val="00657690"/>
    <w:rsid w:val="00684520"/>
    <w:rsid w:val="00700B35"/>
    <w:rsid w:val="00721FFC"/>
    <w:rsid w:val="0074788C"/>
    <w:rsid w:val="00754171"/>
    <w:rsid w:val="00793E66"/>
    <w:rsid w:val="007B435F"/>
    <w:rsid w:val="007C7D4D"/>
    <w:rsid w:val="008004CD"/>
    <w:rsid w:val="00801D7C"/>
    <w:rsid w:val="00802EBD"/>
    <w:rsid w:val="00803680"/>
    <w:rsid w:val="00826A3B"/>
    <w:rsid w:val="008445DE"/>
    <w:rsid w:val="008B5F7D"/>
    <w:rsid w:val="008C355B"/>
    <w:rsid w:val="008D4D61"/>
    <w:rsid w:val="00923A6E"/>
    <w:rsid w:val="00940A45"/>
    <w:rsid w:val="00941404"/>
    <w:rsid w:val="00A2344E"/>
    <w:rsid w:val="00A26DDD"/>
    <w:rsid w:val="00A66282"/>
    <w:rsid w:val="00A67B53"/>
    <w:rsid w:val="00A75805"/>
    <w:rsid w:val="00A758EA"/>
    <w:rsid w:val="00A85449"/>
    <w:rsid w:val="00A924A5"/>
    <w:rsid w:val="00AA343F"/>
    <w:rsid w:val="00AB0EFE"/>
    <w:rsid w:val="00B23981"/>
    <w:rsid w:val="00B410B0"/>
    <w:rsid w:val="00B50AB0"/>
    <w:rsid w:val="00BC501F"/>
    <w:rsid w:val="00BF7B25"/>
    <w:rsid w:val="00C1147F"/>
    <w:rsid w:val="00C375F8"/>
    <w:rsid w:val="00C762FF"/>
    <w:rsid w:val="00C951ED"/>
    <w:rsid w:val="00CB06C3"/>
    <w:rsid w:val="00CC14BD"/>
    <w:rsid w:val="00CC2B0C"/>
    <w:rsid w:val="00CD2A28"/>
    <w:rsid w:val="00CF6981"/>
    <w:rsid w:val="00D33705"/>
    <w:rsid w:val="00D47A49"/>
    <w:rsid w:val="00D5283E"/>
    <w:rsid w:val="00D562EE"/>
    <w:rsid w:val="00D74328"/>
    <w:rsid w:val="00D77A6C"/>
    <w:rsid w:val="00DB1467"/>
    <w:rsid w:val="00DD07E3"/>
    <w:rsid w:val="00DD1775"/>
    <w:rsid w:val="00E15FE3"/>
    <w:rsid w:val="00E63942"/>
    <w:rsid w:val="00E81B69"/>
    <w:rsid w:val="00F61841"/>
    <w:rsid w:val="00F676CC"/>
    <w:rsid w:val="00F83B81"/>
    <w:rsid w:val="00FB6C99"/>
    <w:rsid w:val="00FE0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FF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721FFC"/>
    <w:pPr>
      <w:spacing w:line="651" w:lineRule="atLeast"/>
    </w:pPr>
  </w:style>
  <w:style w:type="paragraph" w:customStyle="1" w:styleId="p3">
    <w:name w:val="p3"/>
    <w:basedOn w:val="Normal"/>
    <w:rsid w:val="00721FFC"/>
    <w:pPr>
      <w:tabs>
        <w:tab w:val="left" w:pos="2936"/>
      </w:tabs>
      <w:spacing w:line="328" w:lineRule="atLeast"/>
      <w:ind w:left="1985" w:hanging="2936"/>
    </w:pPr>
  </w:style>
  <w:style w:type="paragraph" w:customStyle="1" w:styleId="p4">
    <w:name w:val="p4"/>
    <w:basedOn w:val="Normal"/>
    <w:rsid w:val="00721FFC"/>
    <w:pPr>
      <w:spacing w:line="240" w:lineRule="atLeast"/>
      <w:ind w:left="1985"/>
    </w:pPr>
  </w:style>
  <w:style w:type="paragraph" w:customStyle="1" w:styleId="p1">
    <w:name w:val="p1"/>
    <w:basedOn w:val="Normal"/>
    <w:rsid w:val="00721FFC"/>
    <w:pPr>
      <w:tabs>
        <w:tab w:val="left" w:pos="2936"/>
      </w:tabs>
      <w:spacing w:line="657" w:lineRule="atLeast"/>
      <w:ind w:left="1991" w:hanging="2936"/>
    </w:pPr>
  </w:style>
  <w:style w:type="paragraph" w:customStyle="1" w:styleId="c1">
    <w:name w:val="c1"/>
    <w:basedOn w:val="Normal"/>
    <w:rsid w:val="00721FFC"/>
    <w:pPr>
      <w:spacing w:line="240" w:lineRule="atLeast"/>
      <w:jc w:val="center"/>
    </w:pPr>
  </w:style>
  <w:style w:type="paragraph" w:customStyle="1" w:styleId="p2">
    <w:name w:val="p2"/>
    <w:basedOn w:val="Normal"/>
    <w:rsid w:val="00721FFC"/>
    <w:pPr>
      <w:tabs>
        <w:tab w:val="left" w:pos="816"/>
      </w:tabs>
      <w:spacing w:line="538" w:lineRule="atLeast"/>
      <w:ind w:firstLine="816"/>
      <w:jc w:val="both"/>
    </w:pPr>
  </w:style>
  <w:style w:type="paragraph" w:customStyle="1" w:styleId="t2">
    <w:name w:val="t2"/>
    <w:basedOn w:val="Normal"/>
    <w:rsid w:val="00802EBD"/>
    <w:pPr>
      <w:spacing w:line="240" w:lineRule="atLeast"/>
    </w:pPr>
  </w:style>
  <w:style w:type="paragraph" w:customStyle="1" w:styleId="c4">
    <w:name w:val="c4"/>
    <w:basedOn w:val="Normal"/>
    <w:rsid w:val="00802EBD"/>
    <w:pPr>
      <w:spacing w:line="240" w:lineRule="atLeast"/>
      <w:jc w:val="center"/>
    </w:pPr>
  </w:style>
  <w:style w:type="paragraph" w:customStyle="1" w:styleId="c5">
    <w:name w:val="c5"/>
    <w:basedOn w:val="Normal"/>
    <w:rsid w:val="00802EBD"/>
    <w:pPr>
      <w:spacing w:line="240" w:lineRule="atLeast"/>
      <w:jc w:val="center"/>
    </w:pPr>
  </w:style>
  <w:style w:type="paragraph" w:customStyle="1" w:styleId="p6">
    <w:name w:val="p6"/>
    <w:basedOn w:val="Normal"/>
    <w:rsid w:val="00802EBD"/>
    <w:pPr>
      <w:tabs>
        <w:tab w:val="left" w:pos="754"/>
      </w:tabs>
      <w:spacing w:line="532" w:lineRule="atLeast"/>
      <w:ind w:firstLine="754"/>
      <w:jc w:val="both"/>
    </w:pPr>
  </w:style>
  <w:style w:type="paragraph" w:customStyle="1" w:styleId="p7">
    <w:name w:val="p7"/>
    <w:basedOn w:val="Normal"/>
    <w:rsid w:val="00802EBD"/>
    <w:pPr>
      <w:tabs>
        <w:tab w:val="left" w:pos="204"/>
      </w:tabs>
      <w:spacing w:line="240" w:lineRule="atLeast"/>
    </w:pPr>
  </w:style>
  <w:style w:type="paragraph" w:customStyle="1" w:styleId="p8">
    <w:name w:val="p8"/>
    <w:basedOn w:val="Normal"/>
    <w:rsid w:val="00802EBD"/>
    <w:pPr>
      <w:tabs>
        <w:tab w:val="left" w:pos="793"/>
      </w:tabs>
      <w:spacing w:line="538" w:lineRule="atLeast"/>
      <w:ind w:firstLine="794"/>
    </w:pPr>
  </w:style>
  <w:style w:type="paragraph" w:customStyle="1" w:styleId="p9">
    <w:name w:val="p9"/>
    <w:basedOn w:val="Normal"/>
    <w:rsid w:val="00802EBD"/>
    <w:pPr>
      <w:tabs>
        <w:tab w:val="left" w:pos="430"/>
        <w:tab w:val="left" w:pos="793"/>
      </w:tabs>
      <w:spacing w:line="538" w:lineRule="atLeast"/>
      <w:ind w:left="794" w:hanging="363"/>
    </w:pPr>
  </w:style>
  <w:style w:type="paragraph" w:customStyle="1" w:styleId="p5">
    <w:name w:val="p5"/>
    <w:basedOn w:val="Normal"/>
    <w:rsid w:val="00C1147F"/>
    <w:pPr>
      <w:tabs>
        <w:tab w:val="left" w:pos="385"/>
      </w:tabs>
      <w:spacing w:line="240" w:lineRule="atLeast"/>
      <w:ind w:left="849" w:hanging="385"/>
    </w:pPr>
  </w:style>
  <w:style w:type="table" w:styleId="TableColumns3">
    <w:name w:val="Table Columns 3"/>
    <w:basedOn w:val="TableNormal"/>
    <w:rsid w:val="00D5283E"/>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D5283E"/>
    <w:pPr>
      <w:widowControl w:val="0"/>
      <w:autoSpaceDE w:val="0"/>
      <w:autoSpaceDN w:val="0"/>
      <w:adjustRightInd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D528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rsid w:val="00D5283E"/>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7">
    <w:name w:val="Table Grid 7"/>
    <w:basedOn w:val="TableNormal"/>
    <w:rsid w:val="00D5283E"/>
    <w:pPr>
      <w:widowControl w:val="0"/>
      <w:autoSpaceDE w:val="0"/>
      <w:autoSpaceDN w:val="0"/>
      <w:adjustRightIn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D5283E"/>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33705"/>
    <w:rPr>
      <w:rFonts w:ascii="Tahoma" w:hAnsi="Tahoma" w:cs="Tahoma"/>
      <w:sz w:val="16"/>
      <w:szCs w:val="16"/>
    </w:rPr>
  </w:style>
  <w:style w:type="character" w:customStyle="1" w:styleId="BalloonTextChar">
    <w:name w:val="Balloon Text Char"/>
    <w:basedOn w:val="DefaultParagraphFont"/>
    <w:link w:val="BalloonText"/>
    <w:rsid w:val="00D33705"/>
    <w:rPr>
      <w:rFonts w:ascii="Tahoma" w:hAnsi="Tahoma" w:cs="Tahoma"/>
      <w:sz w:val="16"/>
      <w:szCs w:val="16"/>
    </w:rPr>
  </w:style>
  <w:style w:type="table" w:styleId="Table3Deffects1">
    <w:name w:val="Table 3D effects 1"/>
    <w:basedOn w:val="TableNormal"/>
    <w:rsid w:val="00D47A49"/>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D47A49"/>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700B35"/>
    <w:pPr>
      <w:ind w:left="720"/>
      <w:contextualSpacing/>
    </w:pPr>
  </w:style>
</w:styles>
</file>

<file path=word/webSettings.xml><?xml version="1.0" encoding="utf-8"?>
<w:webSettings xmlns:r="http://schemas.openxmlformats.org/officeDocument/2006/relationships" xmlns:w="http://schemas.openxmlformats.org/wordprocessingml/2006/main">
  <w:divs>
    <w:div w:id="51276262">
      <w:bodyDiv w:val="1"/>
      <w:marLeft w:val="0"/>
      <w:marRight w:val="0"/>
      <w:marTop w:val="0"/>
      <w:marBottom w:val="0"/>
      <w:divBdr>
        <w:top w:val="none" w:sz="0" w:space="0" w:color="auto"/>
        <w:left w:val="none" w:sz="0" w:space="0" w:color="auto"/>
        <w:bottom w:val="none" w:sz="0" w:space="0" w:color="auto"/>
        <w:right w:val="none" w:sz="0" w:space="0" w:color="auto"/>
      </w:divBdr>
    </w:div>
    <w:div w:id="106583604">
      <w:bodyDiv w:val="1"/>
      <w:marLeft w:val="0"/>
      <w:marRight w:val="0"/>
      <w:marTop w:val="0"/>
      <w:marBottom w:val="0"/>
      <w:divBdr>
        <w:top w:val="none" w:sz="0" w:space="0" w:color="auto"/>
        <w:left w:val="none" w:sz="0" w:space="0" w:color="auto"/>
        <w:bottom w:val="none" w:sz="0" w:space="0" w:color="auto"/>
        <w:right w:val="none" w:sz="0" w:space="0" w:color="auto"/>
      </w:divBdr>
    </w:div>
    <w:div w:id="403382215">
      <w:bodyDiv w:val="1"/>
      <w:marLeft w:val="0"/>
      <w:marRight w:val="0"/>
      <w:marTop w:val="0"/>
      <w:marBottom w:val="0"/>
      <w:divBdr>
        <w:top w:val="none" w:sz="0" w:space="0" w:color="auto"/>
        <w:left w:val="none" w:sz="0" w:space="0" w:color="auto"/>
        <w:bottom w:val="none" w:sz="0" w:space="0" w:color="auto"/>
        <w:right w:val="none" w:sz="0" w:space="0" w:color="auto"/>
      </w:divBdr>
    </w:div>
    <w:div w:id="418060046">
      <w:bodyDiv w:val="1"/>
      <w:marLeft w:val="0"/>
      <w:marRight w:val="0"/>
      <w:marTop w:val="0"/>
      <w:marBottom w:val="0"/>
      <w:divBdr>
        <w:top w:val="none" w:sz="0" w:space="0" w:color="auto"/>
        <w:left w:val="none" w:sz="0" w:space="0" w:color="auto"/>
        <w:bottom w:val="none" w:sz="0" w:space="0" w:color="auto"/>
        <w:right w:val="none" w:sz="0" w:space="0" w:color="auto"/>
      </w:divBdr>
    </w:div>
    <w:div w:id="456149378">
      <w:bodyDiv w:val="1"/>
      <w:marLeft w:val="0"/>
      <w:marRight w:val="0"/>
      <w:marTop w:val="0"/>
      <w:marBottom w:val="0"/>
      <w:divBdr>
        <w:top w:val="none" w:sz="0" w:space="0" w:color="auto"/>
        <w:left w:val="none" w:sz="0" w:space="0" w:color="auto"/>
        <w:bottom w:val="none" w:sz="0" w:space="0" w:color="auto"/>
        <w:right w:val="none" w:sz="0" w:space="0" w:color="auto"/>
      </w:divBdr>
    </w:div>
    <w:div w:id="475687843">
      <w:bodyDiv w:val="1"/>
      <w:marLeft w:val="0"/>
      <w:marRight w:val="0"/>
      <w:marTop w:val="0"/>
      <w:marBottom w:val="0"/>
      <w:divBdr>
        <w:top w:val="none" w:sz="0" w:space="0" w:color="auto"/>
        <w:left w:val="none" w:sz="0" w:space="0" w:color="auto"/>
        <w:bottom w:val="none" w:sz="0" w:space="0" w:color="auto"/>
        <w:right w:val="none" w:sz="0" w:space="0" w:color="auto"/>
      </w:divBdr>
    </w:div>
    <w:div w:id="503205863">
      <w:bodyDiv w:val="1"/>
      <w:marLeft w:val="0"/>
      <w:marRight w:val="0"/>
      <w:marTop w:val="0"/>
      <w:marBottom w:val="0"/>
      <w:divBdr>
        <w:top w:val="none" w:sz="0" w:space="0" w:color="auto"/>
        <w:left w:val="none" w:sz="0" w:space="0" w:color="auto"/>
        <w:bottom w:val="none" w:sz="0" w:space="0" w:color="auto"/>
        <w:right w:val="none" w:sz="0" w:space="0" w:color="auto"/>
      </w:divBdr>
    </w:div>
    <w:div w:id="622004046">
      <w:bodyDiv w:val="1"/>
      <w:marLeft w:val="0"/>
      <w:marRight w:val="0"/>
      <w:marTop w:val="0"/>
      <w:marBottom w:val="0"/>
      <w:divBdr>
        <w:top w:val="none" w:sz="0" w:space="0" w:color="auto"/>
        <w:left w:val="none" w:sz="0" w:space="0" w:color="auto"/>
        <w:bottom w:val="none" w:sz="0" w:space="0" w:color="auto"/>
        <w:right w:val="none" w:sz="0" w:space="0" w:color="auto"/>
      </w:divBdr>
    </w:div>
    <w:div w:id="797383410">
      <w:bodyDiv w:val="1"/>
      <w:marLeft w:val="0"/>
      <w:marRight w:val="0"/>
      <w:marTop w:val="0"/>
      <w:marBottom w:val="0"/>
      <w:divBdr>
        <w:top w:val="none" w:sz="0" w:space="0" w:color="auto"/>
        <w:left w:val="none" w:sz="0" w:space="0" w:color="auto"/>
        <w:bottom w:val="none" w:sz="0" w:space="0" w:color="auto"/>
        <w:right w:val="none" w:sz="0" w:space="0" w:color="auto"/>
      </w:divBdr>
    </w:div>
    <w:div w:id="835849848">
      <w:bodyDiv w:val="1"/>
      <w:marLeft w:val="0"/>
      <w:marRight w:val="0"/>
      <w:marTop w:val="0"/>
      <w:marBottom w:val="0"/>
      <w:divBdr>
        <w:top w:val="none" w:sz="0" w:space="0" w:color="auto"/>
        <w:left w:val="none" w:sz="0" w:space="0" w:color="auto"/>
        <w:bottom w:val="none" w:sz="0" w:space="0" w:color="auto"/>
        <w:right w:val="none" w:sz="0" w:space="0" w:color="auto"/>
      </w:divBdr>
    </w:div>
    <w:div w:id="924723401">
      <w:bodyDiv w:val="1"/>
      <w:marLeft w:val="0"/>
      <w:marRight w:val="0"/>
      <w:marTop w:val="0"/>
      <w:marBottom w:val="0"/>
      <w:divBdr>
        <w:top w:val="none" w:sz="0" w:space="0" w:color="auto"/>
        <w:left w:val="none" w:sz="0" w:space="0" w:color="auto"/>
        <w:bottom w:val="none" w:sz="0" w:space="0" w:color="auto"/>
        <w:right w:val="none" w:sz="0" w:space="0" w:color="auto"/>
      </w:divBdr>
    </w:div>
    <w:div w:id="1139304221">
      <w:bodyDiv w:val="1"/>
      <w:marLeft w:val="0"/>
      <w:marRight w:val="0"/>
      <w:marTop w:val="0"/>
      <w:marBottom w:val="0"/>
      <w:divBdr>
        <w:top w:val="none" w:sz="0" w:space="0" w:color="auto"/>
        <w:left w:val="none" w:sz="0" w:space="0" w:color="auto"/>
        <w:bottom w:val="none" w:sz="0" w:space="0" w:color="auto"/>
        <w:right w:val="none" w:sz="0" w:space="0" w:color="auto"/>
      </w:divBdr>
    </w:div>
    <w:div w:id="1180587906">
      <w:bodyDiv w:val="1"/>
      <w:marLeft w:val="0"/>
      <w:marRight w:val="0"/>
      <w:marTop w:val="0"/>
      <w:marBottom w:val="0"/>
      <w:divBdr>
        <w:top w:val="none" w:sz="0" w:space="0" w:color="auto"/>
        <w:left w:val="none" w:sz="0" w:space="0" w:color="auto"/>
        <w:bottom w:val="none" w:sz="0" w:space="0" w:color="auto"/>
        <w:right w:val="none" w:sz="0" w:space="0" w:color="auto"/>
      </w:divBdr>
    </w:div>
    <w:div w:id="1407461023">
      <w:bodyDiv w:val="1"/>
      <w:marLeft w:val="0"/>
      <w:marRight w:val="0"/>
      <w:marTop w:val="0"/>
      <w:marBottom w:val="0"/>
      <w:divBdr>
        <w:top w:val="none" w:sz="0" w:space="0" w:color="auto"/>
        <w:left w:val="none" w:sz="0" w:space="0" w:color="auto"/>
        <w:bottom w:val="none" w:sz="0" w:space="0" w:color="auto"/>
        <w:right w:val="none" w:sz="0" w:space="0" w:color="auto"/>
      </w:divBdr>
    </w:div>
    <w:div w:id="1522932516">
      <w:bodyDiv w:val="1"/>
      <w:marLeft w:val="0"/>
      <w:marRight w:val="0"/>
      <w:marTop w:val="0"/>
      <w:marBottom w:val="0"/>
      <w:divBdr>
        <w:top w:val="none" w:sz="0" w:space="0" w:color="auto"/>
        <w:left w:val="none" w:sz="0" w:space="0" w:color="auto"/>
        <w:bottom w:val="none" w:sz="0" w:space="0" w:color="auto"/>
        <w:right w:val="none" w:sz="0" w:space="0" w:color="auto"/>
      </w:divBdr>
    </w:div>
    <w:div w:id="1627926049">
      <w:bodyDiv w:val="1"/>
      <w:marLeft w:val="0"/>
      <w:marRight w:val="0"/>
      <w:marTop w:val="0"/>
      <w:marBottom w:val="0"/>
      <w:divBdr>
        <w:top w:val="none" w:sz="0" w:space="0" w:color="auto"/>
        <w:left w:val="none" w:sz="0" w:space="0" w:color="auto"/>
        <w:bottom w:val="none" w:sz="0" w:space="0" w:color="auto"/>
        <w:right w:val="none" w:sz="0" w:space="0" w:color="auto"/>
      </w:divBdr>
    </w:div>
    <w:div w:id="1651981761">
      <w:bodyDiv w:val="1"/>
      <w:marLeft w:val="0"/>
      <w:marRight w:val="0"/>
      <w:marTop w:val="0"/>
      <w:marBottom w:val="0"/>
      <w:divBdr>
        <w:top w:val="none" w:sz="0" w:space="0" w:color="auto"/>
        <w:left w:val="none" w:sz="0" w:space="0" w:color="auto"/>
        <w:bottom w:val="none" w:sz="0" w:space="0" w:color="auto"/>
        <w:right w:val="none" w:sz="0" w:space="0" w:color="auto"/>
      </w:divBdr>
    </w:div>
    <w:div w:id="1661080871">
      <w:bodyDiv w:val="1"/>
      <w:marLeft w:val="0"/>
      <w:marRight w:val="0"/>
      <w:marTop w:val="0"/>
      <w:marBottom w:val="0"/>
      <w:divBdr>
        <w:top w:val="none" w:sz="0" w:space="0" w:color="auto"/>
        <w:left w:val="none" w:sz="0" w:space="0" w:color="auto"/>
        <w:bottom w:val="none" w:sz="0" w:space="0" w:color="auto"/>
        <w:right w:val="none" w:sz="0" w:space="0" w:color="auto"/>
      </w:divBdr>
    </w:div>
    <w:div w:id="1833526485">
      <w:bodyDiv w:val="1"/>
      <w:marLeft w:val="0"/>
      <w:marRight w:val="0"/>
      <w:marTop w:val="0"/>
      <w:marBottom w:val="0"/>
      <w:divBdr>
        <w:top w:val="none" w:sz="0" w:space="0" w:color="auto"/>
        <w:left w:val="none" w:sz="0" w:space="0" w:color="auto"/>
        <w:bottom w:val="none" w:sz="0" w:space="0" w:color="auto"/>
        <w:right w:val="none" w:sz="0" w:space="0" w:color="auto"/>
      </w:divBdr>
    </w:div>
    <w:div w:id="1833909293">
      <w:bodyDiv w:val="1"/>
      <w:marLeft w:val="0"/>
      <w:marRight w:val="0"/>
      <w:marTop w:val="0"/>
      <w:marBottom w:val="0"/>
      <w:divBdr>
        <w:top w:val="none" w:sz="0" w:space="0" w:color="auto"/>
        <w:left w:val="none" w:sz="0" w:space="0" w:color="auto"/>
        <w:bottom w:val="none" w:sz="0" w:space="0" w:color="auto"/>
        <w:right w:val="none" w:sz="0" w:space="0" w:color="auto"/>
      </w:divBdr>
    </w:div>
    <w:div w:id="1864397769">
      <w:bodyDiv w:val="1"/>
      <w:marLeft w:val="0"/>
      <w:marRight w:val="0"/>
      <w:marTop w:val="0"/>
      <w:marBottom w:val="0"/>
      <w:divBdr>
        <w:top w:val="none" w:sz="0" w:space="0" w:color="auto"/>
        <w:left w:val="none" w:sz="0" w:space="0" w:color="auto"/>
        <w:bottom w:val="none" w:sz="0" w:space="0" w:color="auto"/>
        <w:right w:val="none" w:sz="0" w:space="0" w:color="auto"/>
      </w:divBdr>
    </w:div>
    <w:div w:id="1971587528">
      <w:bodyDiv w:val="1"/>
      <w:marLeft w:val="0"/>
      <w:marRight w:val="0"/>
      <w:marTop w:val="0"/>
      <w:marBottom w:val="0"/>
      <w:divBdr>
        <w:top w:val="none" w:sz="0" w:space="0" w:color="auto"/>
        <w:left w:val="none" w:sz="0" w:space="0" w:color="auto"/>
        <w:bottom w:val="none" w:sz="0" w:space="0" w:color="auto"/>
        <w:right w:val="none" w:sz="0" w:space="0" w:color="auto"/>
      </w:divBdr>
    </w:div>
    <w:div w:id="20758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ABD1-75C4-4DA9-ADC1-B637B836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Paper Tide:</vt:lpstr>
    </vt:vector>
  </TitlesOfParts>
  <Company>SVL Holding Corporation</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Tide:</dc:title>
  <dc:creator>Steven Le</dc:creator>
  <cp:lastModifiedBy>Nafisseh Heiat</cp:lastModifiedBy>
  <cp:revision>2</cp:revision>
  <cp:lastPrinted>2008-02-25T20:27:00Z</cp:lastPrinted>
  <dcterms:created xsi:type="dcterms:W3CDTF">2009-02-23T23:51:00Z</dcterms:created>
  <dcterms:modified xsi:type="dcterms:W3CDTF">2009-02-23T23:51:00Z</dcterms:modified>
</cp:coreProperties>
</file>